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center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4e79"/>
          <w:sz w:val="20"/>
          <w:szCs w:val="20"/>
          <w:rtl w:val="0"/>
        </w:rPr>
        <w:t xml:space="preserve">ANUNȚ DE CONCURS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lineRule="auto"/>
        <w:jc w:val="center"/>
        <w:rPr>
          <w:rFonts w:ascii="Calibri" w:cs="Calibri" w:eastAsia="Calibri" w:hAnsi="Calibri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595959"/>
          <w:sz w:val="20"/>
          <w:szCs w:val="20"/>
          <w:rtl w:val="0"/>
        </w:rPr>
        <w:t xml:space="preserve">pentru ocuparea posturilor în cadrul proiectului PIDS/POIDS</w:t>
      </w:r>
    </w:p>
    <w:p w:rsidR="00000000" w:rsidDel="00000000" w:rsidP="00000000" w:rsidRDefault="00000000" w:rsidRPr="00000000" w14:paraId="00000003">
      <w:pPr>
        <w:spacing w:after="240" w:lineRule="auto"/>
        <w:rPr>
          <w:rFonts w:ascii="Calibri" w:cs="Calibri" w:eastAsia="Calibri" w:hAnsi="Calibri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595959"/>
          <w:sz w:val="20"/>
          <w:szCs w:val="20"/>
          <w:rtl w:val="0"/>
        </w:rPr>
        <w:t xml:space="preserve">Nr. 7818/19.10.2026</w:t>
      </w:r>
    </w:p>
    <w:tbl>
      <w:tblPr>
        <w:tblStyle w:val="Table1"/>
        <w:tblW w:w="7222.0" w:type="dxa"/>
        <w:jc w:val="left"/>
        <w:tblInd w:w="87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84"/>
        <w:gridCol w:w="2774"/>
        <w:gridCol w:w="1056"/>
        <w:gridCol w:w="896"/>
        <w:gridCol w:w="1101"/>
        <w:gridCol w:w="811"/>
        <w:tblGridChange w:id="0">
          <w:tblGrid>
            <w:gridCol w:w="584"/>
            <w:gridCol w:w="2774"/>
            <w:gridCol w:w="1056"/>
            <w:gridCol w:w="896"/>
            <w:gridCol w:w="1101"/>
            <w:gridCol w:w="811"/>
          </w:tblGrid>
        </w:tblGridChange>
      </w:tblGrid>
      <w:tr>
        <w:trPr>
          <w:cantSplit w:val="0"/>
          <w:trHeight w:val="738" w:hRule="atLeast"/>
          <w:tblHeader w:val="1"/>
        </w:trPr>
        <w:tc>
          <w:tcPr>
            <w:shd w:fill="d9d9d9" w:val="clear"/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pStyle w:val="Heading3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Nr.</w:t>
            </w:r>
          </w:p>
          <w:p w:rsidR="00000000" w:rsidDel="00000000" w:rsidP="00000000" w:rsidRDefault="00000000" w:rsidRPr="00000000" w14:paraId="00000005">
            <w:pPr>
              <w:pStyle w:val="Heading3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crt.</w:t>
            </w:r>
          </w:p>
        </w:tc>
        <w:tc>
          <w:tcPr>
            <w:shd w:fill="d9d9d9" w:val="clear"/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pStyle w:val="Heading3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Denumire post</w:t>
            </w:r>
          </w:p>
        </w:tc>
        <w:tc>
          <w:tcPr>
            <w:shd w:fill="d9d9d9" w:val="clear"/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pStyle w:val="Heading3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Cod COR</w:t>
            </w:r>
          </w:p>
        </w:tc>
        <w:tc>
          <w:tcPr>
            <w:shd w:fill="d9d9d9" w:val="clear"/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pStyle w:val="Heading3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Nr.</w:t>
            </w:r>
          </w:p>
          <w:p w:rsidR="00000000" w:rsidDel="00000000" w:rsidP="00000000" w:rsidRDefault="00000000" w:rsidRPr="00000000" w14:paraId="00000009">
            <w:pPr>
              <w:pStyle w:val="Heading3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posturi</w:t>
            </w:r>
          </w:p>
        </w:tc>
        <w:tc>
          <w:tcPr>
            <w:shd w:fill="d9d9d9" w:val="clear"/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pStyle w:val="Heading3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Ore/lună</w:t>
            </w:r>
          </w:p>
          <w:p w:rsidR="00000000" w:rsidDel="00000000" w:rsidP="00000000" w:rsidRDefault="00000000" w:rsidRPr="00000000" w14:paraId="0000000B">
            <w:pPr>
              <w:pStyle w:val="Heading3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(medie)</w:t>
            </w:r>
          </w:p>
        </w:tc>
        <w:tc>
          <w:tcPr>
            <w:shd w:fill="d9d9d9" w:val="clear"/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pStyle w:val="Heading3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Nr.</w:t>
            </w:r>
          </w:p>
          <w:p w:rsidR="00000000" w:rsidDel="00000000" w:rsidP="00000000" w:rsidRDefault="00000000" w:rsidRPr="00000000" w14:paraId="0000000D">
            <w:pPr>
              <w:pStyle w:val="Heading3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luni</w:t>
            </w:r>
          </w:p>
        </w:tc>
      </w:tr>
      <w:tr>
        <w:trPr>
          <w:cantSplit w:val="0"/>
          <w:trHeight w:val="373" w:hRule="atLeast"/>
          <w:tblHeader w:val="0"/>
        </w:trPr>
        <w:tc>
          <w:tcPr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pStyle w:val="Heading3"/>
              <w:numPr>
                <w:ilvl w:val="0"/>
                <w:numId w:val="5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pStyle w:val="Heading3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Kinetoterapeut</w:t>
            </w:r>
          </w:p>
        </w:tc>
        <w:tc>
          <w:tcPr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pStyle w:val="Heading3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226405</w:t>
            </w:r>
          </w:p>
        </w:tc>
        <w:tc>
          <w:tcPr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pStyle w:val="Heading3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pStyle w:val="Heading3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84</w:t>
            </w:r>
          </w:p>
        </w:tc>
        <w:tc>
          <w:tcPr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pStyle w:val="Heading3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39</w:t>
            </w:r>
          </w:p>
        </w:tc>
      </w:tr>
      <w:tr>
        <w:trPr>
          <w:cantSplit w:val="0"/>
          <w:trHeight w:val="373" w:hRule="atLeast"/>
          <w:tblHeader w:val="0"/>
        </w:trPr>
        <w:tc>
          <w:tcPr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pStyle w:val="Heading3"/>
              <w:numPr>
                <w:ilvl w:val="0"/>
                <w:numId w:val="5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pStyle w:val="Heading3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Fiziokinetoterapeut</w:t>
            </w:r>
          </w:p>
        </w:tc>
        <w:tc>
          <w:tcPr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pStyle w:val="Heading3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226401</w:t>
            </w:r>
          </w:p>
        </w:tc>
        <w:tc>
          <w:tcPr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pStyle w:val="Heading3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pStyle w:val="Heading3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84</w:t>
            </w:r>
          </w:p>
        </w:tc>
        <w:tc>
          <w:tcPr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pStyle w:val="Heading3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39</w:t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shd w:fill="d9d9d9" w:val="clear"/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pStyle w:val="Heading3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pStyle w:val="Heading3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TOTAL — 2 funcții / 2 posturi</w:t>
            </w:r>
          </w:p>
        </w:tc>
        <w:tc>
          <w:tcPr>
            <w:shd w:fill="d9d9d9" w:val="clear"/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pStyle w:val="Heading3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pStyle w:val="Heading3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d9d9d9" w:val="clear"/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pStyle w:val="Heading3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--</w:t>
            </w:r>
          </w:p>
        </w:tc>
        <w:tc>
          <w:tcPr>
            <w:shd w:fill="d9d9d9" w:val="clear"/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pStyle w:val="Heading3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—</w:t>
            </w:r>
          </w:p>
        </w:tc>
      </w:tr>
    </w:tbl>
    <w:p w:rsidR="00000000" w:rsidDel="00000000" w:rsidP="00000000" w:rsidRDefault="00000000" w:rsidRPr="00000000" w14:paraId="00000020">
      <w:pPr>
        <w:spacing w:after="12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spacing w:after="80" w:before="280" w:lineRule="auto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4e79"/>
          <w:sz w:val="20"/>
          <w:szCs w:val="20"/>
          <w:rtl w:val="0"/>
        </w:rPr>
        <w:t xml:space="preserve">I. Obiectul concursului / recrutării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0" w:lineRule="auto"/>
        <w:jc w:val="both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UAT Comuna  Valea Chioarului organizează concurs pentru ocuparea postului menționat în tabelul de mai sus, în cadrul proiectului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„Furnizarea de Servicii de îngrijire la domiciliu pentru persoane vârstnice din Comuna Valea Chioarului, jud. Maramureș” — cod SMIS 350075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, finanțat prin Programul Incluziune și Demnitate Socială (PIDS/POIDS) 2021-2027, conform Contractului de finanțare nr.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finanțare nr. 14359/29.07.2026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2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spacing w:after="80" w:before="280" w:lineRule="auto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4e79"/>
          <w:sz w:val="20"/>
          <w:szCs w:val="20"/>
          <w:rtl w:val="0"/>
        </w:rPr>
        <w:t xml:space="preserve">II. Durata și locul desfășurării activității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80" w:lineRule="auto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Durata contractului: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Contract individual de muncă pe durată determinată, pe perioada de implementare a proiectului, conform graficului de activități și bugetului aprobat.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20" w:lineRule="auto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Locul desfășurării activității și condiții de muncă: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Sediul UAT Comuna valea Chioarului, teren/comunitate, locații stabilite în cadrul proiectului și/sau la domiciliul beneficiarilor. Angajatorul asigură mijloacele tehnice necesare (computer/tabletă, conexiune internet, echipamente de protecție, autoturism pentru deplasări în comunitate/teren).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1"/>
        <w:spacing w:after="80" w:before="280" w:lineRule="auto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4e79"/>
          <w:sz w:val="20"/>
          <w:szCs w:val="20"/>
          <w:rtl w:val="0"/>
        </w:rPr>
        <w:t xml:space="preserve">III. Condiții generale de participare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76" w:lineRule="auto"/>
        <w:ind w:left="36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are cetățenia română sau cetățenia unui alt stat membru al Uniunii Europene, cu respectarea condițiilor legale;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cunoaște limba română, scris și vorbit;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are capacitate deplină de exercițiu;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are o stare de sănătate corespunzătoare exercitării atribuțiilor postului, dovedită cu adeverință medicală;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îndeplinește condițiile de studii, calificare și experiență profesională solicitate pentru ocuparea postului;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nu a fost condamnată definitiv pentru săvârșirea unei infracțiuni incompatibile cu exercitarea funcției;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nu se află în situație de conflict de interese sau incompatibilitate în raport cu activitățile proiectului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1"/>
        <w:spacing w:after="80" w:before="280" w:lineRule="auto"/>
        <w:rPr>
          <w:rFonts w:ascii="Calibri" w:cs="Calibri" w:eastAsia="Calibri" w:hAnsi="Calibri"/>
          <w:b w:val="1"/>
          <w:bCs w:val="1"/>
          <w:color w:val="1f4e7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1"/>
        <w:spacing w:after="80" w:before="280" w:lineRule="auto"/>
        <w:rPr>
          <w:rFonts w:ascii="Calibri" w:cs="Calibri" w:eastAsia="Calibri" w:hAnsi="Calibri"/>
          <w:b w:val="1"/>
          <w:bCs w:val="1"/>
          <w:color w:val="1f4e79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4e79"/>
          <w:sz w:val="20"/>
          <w:szCs w:val="20"/>
          <w:rtl w:val="0"/>
        </w:rPr>
        <w:t xml:space="preserve">IV. 1. Condiții specifice de participare - Kinetoterapeut</w:t>
      </w:r>
    </w:p>
    <w:tbl>
      <w:tblPr>
        <w:tblStyle w:val="Table2"/>
        <w:tblW w:w="9360.0" w:type="dxa"/>
        <w:jc w:val="center"/>
        <w:tblBorders>
          <w:top w:color="1f4e79" w:space="0" w:sz="4" w:val="single"/>
          <w:left w:color="1f4e79" w:space="0" w:sz="4" w:val="single"/>
          <w:bottom w:color="1f4e79" w:space="0" w:sz="4" w:val="single"/>
          <w:right w:color="1f4e79" w:space="0" w:sz="4" w:val="single"/>
          <w:insideH w:color="1f4e79" w:space="0" w:sz="4" w:val="single"/>
          <w:insideV w:color="1f4e79" w:space="0" w:sz="4" w:val="single"/>
        </w:tblBorders>
        <w:tblLayout w:type="fixed"/>
        <w:tblLook w:val="0400"/>
      </w:tblPr>
      <w:tblGrid>
        <w:gridCol w:w="2880"/>
        <w:gridCol w:w="6480"/>
        <w:tblGridChange w:id="0">
          <w:tblGrid>
            <w:gridCol w:w="2880"/>
            <w:gridCol w:w="6480"/>
          </w:tblGrid>
        </w:tblGridChange>
      </w:tblGrid>
      <w:tr>
        <w:trPr>
          <w:cantSplit w:val="0"/>
          <w:tblHeader w:val="0"/>
        </w:trPr>
        <w:tc>
          <w:tcPr>
            <w:shd w:fill="1f4e79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31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Cerință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9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32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Nivel minim solicitat (conform Fișei de Post)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3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Nivel Studii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4">
            <w:pPr>
              <w:spacing w:after="40" w:before="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Studii Superioare finalizate in domeniul kinetoterapiei sau similar</w:t>
            </w:r>
          </w:p>
        </w:tc>
      </w:tr>
      <w:tr>
        <w:trPr>
          <w:cantSplit w:val="0"/>
          <w:tblHeader w:val="0"/>
        </w:trPr>
        <w:tc>
          <w:tcPr>
            <w:shd w:fill="e6eef4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5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Calitate profesională / Atestare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9fbfd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6">
            <w:pPr>
              <w:spacing w:after="40" w:before="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Licențiat</w:t>
            </w:r>
          </w:p>
          <w:p w:rsidR="00000000" w:rsidDel="00000000" w:rsidP="00000000" w:rsidRDefault="00000000" w:rsidRPr="00000000" w14:paraId="00000037">
            <w:pPr>
              <w:spacing w:after="40" w:before="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Calitatea de membru in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Colegiul Fizioterapeuților din România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(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CFZRO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) </w:t>
            </w:r>
          </w:p>
        </w:tc>
      </w:tr>
      <w:tr>
        <w:trPr>
          <w:cantSplit w:val="0"/>
          <w:tblHeader w:val="0"/>
        </w:trPr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8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Experiență profesională specifică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9">
            <w:pPr>
              <w:spacing w:after="40" w:before="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Experienta specifica in domeniul kinetoterapiei sau activitati similar</w:t>
            </w:r>
          </w:p>
          <w:p w:rsidR="00000000" w:rsidDel="00000000" w:rsidP="00000000" w:rsidRDefault="00000000" w:rsidRPr="00000000" w14:paraId="0000003A">
            <w:pPr>
              <w:spacing w:after="40" w:before="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0-12 luni</w:t>
            </w:r>
          </w:p>
        </w:tc>
      </w:tr>
      <w:tr>
        <w:trPr>
          <w:cantSplit w:val="0"/>
          <w:tblHeader w:val="0"/>
        </w:trPr>
        <w:tc>
          <w:tcPr>
            <w:shd w:fill="e6eef4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B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Competențe specifice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9fbfd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Operare PC și abilități digitale avansate;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Cunoașterea prevederilor Ghidului Condiții Generale și Condiții Specifice PIDS/POIDS 2021-2027;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Abilități excelente de comunicare, relaționare, muncă în echipă multidisciplinară, organizare și empatie;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Comportament civilizat, prezența de spirit, limbaj civilizat , respect,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atentie distributivă, responsabilitate, seriozitate, inițiativă;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Capacitate de lucru în mod individual şi în echipă;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Capacitate de organizare;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Adaptabilitate, flexibilitate şi rezistenţă la stres;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Perseverenţă, toleranţă, calm, abilităţi de comunicare asertivă;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Gospodărirea judicioasa a resurselor materiale;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Prezență agreabilă, empatie, integritate;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Onestitate și respect față de beneficiarii serviciilor sociale;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Respectarea confidentialitatii si a demnitatii personale a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beneficiarilor de servicii sociale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Capacitate de ascultare active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76" w:lineRule="auto"/>
              <w:ind w:left="720" w:right="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Permis conducere categoria B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C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Relații organizatorice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D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Postul este direct subordonat Managerului de Proiect.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eef4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E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Condiții de muncă și resurse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9fbfd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F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Acces permanent la computer, imprimantă, soft de specialitate, internet, autoturism pentru deplasări în teren/comunitate.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keepNext w:val="1"/>
        <w:spacing w:after="80" w:before="280" w:lineRule="auto"/>
        <w:rPr>
          <w:rFonts w:ascii="Calibri" w:cs="Calibri" w:eastAsia="Calibri" w:hAnsi="Calibri"/>
          <w:b w:val="1"/>
          <w:bCs w:val="1"/>
          <w:color w:val="1f4e7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1"/>
        <w:spacing w:after="80" w:before="280" w:lineRule="auto"/>
        <w:rPr>
          <w:rFonts w:ascii="Calibri" w:cs="Calibri" w:eastAsia="Calibri" w:hAnsi="Calibri"/>
          <w:b w:val="1"/>
          <w:bCs w:val="1"/>
          <w:color w:val="1f4e7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1"/>
        <w:spacing w:after="80" w:before="280" w:lineRule="auto"/>
        <w:rPr>
          <w:rFonts w:ascii="Calibri" w:cs="Calibri" w:eastAsia="Calibri" w:hAnsi="Calibri"/>
          <w:b w:val="1"/>
          <w:bCs w:val="1"/>
          <w:color w:val="1f4e7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1"/>
        <w:spacing w:after="80" w:before="280" w:lineRule="auto"/>
        <w:rPr>
          <w:rFonts w:ascii="Calibri" w:cs="Calibri" w:eastAsia="Calibri" w:hAnsi="Calibri"/>
          <w:b w:val="1"/>
          <w:bCs w:val="1"/>
          <w:color w:val="1f4e79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4e79"/>
          <w:sz w:val="20"/>
          <w:szCs w:val="20"/>
          <w:rtl w:val="0"/>
        </w:rPr>
        <w:t xml:space="preserve">IV.2. Condiții specifice de participare - Fiziokinetoterapeut</w:t>
      </w:r>
    </w:p>
    <w:tbl>
      <w:tblPr>
        <w:tblStyle w:val="Table3"/>
        <w:tblW w:w="9360.0" w:type="dxa"/>
        <w:jc w:val="center"/>
        <w:tblBorders>
          <w:top w:color="1f4e79" w:space="0" w:sz="4" w:val="single"/>
          <w:left w:color="1f4e79" w:space="0" w:sz="4" w:val="single"/>
          <w:bottom w:color="1f4e79" w:space="0" w:sz="4" w:val="single"/>
          <w:right w:color="1f4e79" w:space="0" w:sz="4" w:val="single"/>
          <w:insideH w:color="1f4e79" w:space="0" w:sz="4" w:val="single"/>
          <w:insideV w:color="1f4e79" w:space="0" w:sz="4" w:val="single"/>
        </w:tblBorders>
        <w:tblLayout w:type="fixed"/>
        <w:tblLook w:val="0400"/>
      </w:tblPr>
      <w:tblGrid>
        <w:gridCol w:w="2880"/>
        <w:gridCol w:w="6480"/>
        <w:tblGridChange w:id="0">
          <w:tblGrid>
            <w:gridCol w:w="2880"/>
            <w:gridCol w:w="6480"/>
          </w:tblGrid>
        </w:tblGridChange>
      </w:tblGrid>
      <w:tr>
        <w:trPr>
          <w:cantSplit w:val="0"/>
          <w:tblHeader w:val="0"/>
        </w:trPr>
        <w:tc>
          <w:tcPr>
            <w:shd w:fill="1f4e79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54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Cerință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9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55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Nivel minim solicitat (conform Fișei de Post)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6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Nivel Studii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7">
            <w:pPr>
              <w:spacing w:after="40" w:before="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Studii Superioare finalizate in domeniul fizio/kinetoterapiei sau similar</w:t>
            </w:r>
          </w:p>
        </w:tc>
      </w:tr>
      <w:tr>
        <w:trPr>
          <w:cantSplit w:val="0"/>
          <w:tblHeader w:val="0"/>
        </w:trPr>
        <w:tc>
          <w:tcPr>
            <w:shd w:fill="e6eef4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8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Calitate profesională / Atestare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9fbfd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9">
            <w:pPr>
              <w:spacing w:after="40" w:before="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Licențiat</w:t>
            </w:r>
          </w:p>
          <w:p w:rsidR="00000000" w:rsidDel="00000000" w:rsidP="00000000" w:rsidRDefault="00000000" w:rsidRPr="00000000" w14:paraId="0000005A">
            <w:pPr>
              <w:spacing w:after="40" w:before="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Calitatea de membru in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Colegiul Fizioterapeuților din România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(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CFZRO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) </w:t>
            </w:r>
          </w:p>
        </w:tc>
      </w:tr>
      <w:tr>
        <w:trPr>
          <w:cantSplit w:val="0"/>
          <w:tblHeader w:val="0"/>
        </w:trPr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B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Experiență profesională specifică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C">
            <w:pPr>
              <w:spacing w:after="40" w:before="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Experienta specifica in domeniul asistentei medicale. </w:t>
            </w:r>
          </w:p>
          <w:p w:rsidR="00000000" w:rsidDel="00000000" w:rsidP="00000000" w:rsidRDefault="00000000" w:rsidRPr="00000000" w14:paraId="0000005D">
            <w:pPr>
              <w:spacing w:after="40" w:before="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0 - 12 luni</w:t>
            </w:r>
          </w:p>
        </w:tc>
      </w:tr>
      <w:tr>
        <w:trPr>
          <w:cantSplit w:val="0"/>
          <w:tblHeader w:val="0"/>
        </w:trPr>
        <w:tc>
          <w:tcPr>
            <w:shd w:fill="e6eef4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E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Competențe specifice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9fbfd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F">
            <w:pPr>
              <w:spacing w:after="40" w:before="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Operare PC și abilități digitale avansate;</w:t>
            </w:r>
          </w:p>
          <w:p w:rsidR="00000000" w:rsidDel="00000000" w:rsidP="00000000" w:rsidRDefault="00000000" w:rsidRPr="00000000" w14:paraId="00000060">
            <w:pPr>
              <w:spacing w:after="40" w:before="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Cunoașterea prevederilor Ghidului Condiții Generale și Condiții Specifice PIDS/POIDS 2021-2027;</w:t>
              <w:br w:type="textWrapping"/>
              <w:t xml:space="preserve">Abilități excelente de comunicare, relaționare, muncă în echipă multidisciplinară, organizare și empatie;</w:t>
            </w:r>
          </w:p>
          <w:p w:rsidR="00000000" w:rsidDel="00000000" w:rsidP="00000000" w:rsidRDefault="00000000" w:rsidRPr="00000000" w14:paraId="00000061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Permis conducere categoria B.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2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Relații organizatorice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3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Postul este direct subordonat Managerului de Proiect.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eef4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4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Condiții de muncă și resurse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9fbfd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5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Acces permanent la computer, imprimantă, soft de specialitate, internet, autoturism pentru deplasări în teren/comunitate.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keepNext w:val="1"/>
        <w:spacing w:after="80" w:before="280" w:lineRule="auto"/>
        <w:rPr>
          <w:rFonts w:ascii="Calibri" w:cs="Calibri" w:eastAsia="Calibri" w:hAnsi="Calibri"/>
          <w:b w:val="1"/>
          <w:bCs w:val="1"/>
          <w:color w:val="1f4e79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4e79"/>
          <w:sz w:val="20"/>
          <w:szCs w:val="20"/>
          <w:rtl w:val="0"/>
        </w:rPr>
        <w:t xml:space="preserve">V. Atribuții și sarcini principale ale postului</w:t>
      </w:r>
    </w:p>
    <w:p w:rsidR="00000000" w:rsidDel="00000000" w:rsidP="00000000" w:rsidRDefault="00000000" w:rsidRPr="00000000" w14:paraId="00000067">
      <w:pPr>
        <w:keepNext w:val="1"/>
        <w:spacing w:after="80" w:before="280" w:lineRule="auto"/>
        <w:rPr>
          <w:rFonts w:ascii="Calibri" w:cs="Calibri" w:eastAsia="Calibri" w:hAnsi="Calibri"/>
          <w:b w:val="1"/>
          <w:bCs w:val="1"/>
          <w:color w:val="1f4e79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4e79"/>
          <w:sz w:val="20"/>
          <w:szCs w:val="20"/>
          <w:rtl w:val="0"/>
        </w:rPr>
        <w:t xml:space="preserve"> V.1 – Kinetoterapeut</w:t>
      </w:r>
    </w:p>
    <w:p w:rsidR="00000000" w:rsidDel="00000000" w:rsidP="00000000" w:rsidRDefault="00000000" w:rsidRPr="00000000" w14:paraId="00000068">
      <w:pPr>
        <w:spacing w:after="80" w:lineRule="auto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Conform Fișei de Post aprobate, principalele atribuții și sarcini ale postului sunt: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Contribuie, la nevoie, la actualizarea procedurilor/instrumentelor de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lucru care implică kinetoterapuetul si care vor fi utilizate în acordarea serviciilor;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Realizează activități,de recuperare/reabilitare fizică prin kinetoterapie, fizioterapie, mişcare şi activităţi fizice, gimnastică geriatrică și de întreținere, la domiciliul grupului țintă în cadrul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serviciului social 8810-ID-I Unitate de îngrijire la domiciliu pentru persoane vârstnice, cu respectarea prevederilor legii, a standardului minim de calitate aplicabil şi a ROF-ului unității;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Realizează evaluarea/reevaluarea funcțională la domiciliul beneficiarului pentru identificarea nevoilor de recuperare și stabileste obiectivele terapeutice specific intervenției kinetoterapeutului;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Participa la elaborarea/revizuirea planului individualizat de asistenta si îngriire/plan de intervenție, secțiunea dedicată kinetoterapeutului, cu actiunile terapeutice ce le va derula la domiciliul beneficiarului;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Efectuează tratamentele cu echipamentele din dotarea și aplică procedee conform conduitei terapuetice și obiectivelor fixate;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Efectuează activitățile de recuperare prin kinetoterapie, mişcare şi activităţi fizice, gimnastică geriatrică și de întreținere la domiciliul beneficiarului de servicii;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Completează fișa de monitorizare servicii toate acțiunile terapeutoce/procedurile utilizate în secțiunea dedicată intervenției kinetoterapeutului;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Colaborează cu întreaga echipă, cu alți specialiști și institutii ori ong- uri în vederea soluționării diferitelor situații cu care se confruntă beneficiarii;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Identifică și semnalează situaţiile de abuz şi neglijenţă, posibilele riscuri de accidente sau agravare a situației beneficiarului cauzate de mediul ambiental sau familial;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Propune necesitatea realizării unor lucrări de adaptare a locuinţei care pot facilita menţinerea beneficiarului la domiciliu;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Promovează si respectă cu strictețe principiile utilizării eficiente a resurselor, egalității de șanse, nedisriminării și asigurării accesului persoanelor cu dizabilități;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 tot parcursul acordării serviciului social, nu va face nici o deosebire, excludere, restrictie sau preferinta, indiferent de rasa, etnie, limba, religie, convingeri, gen, orientare sexuala, vârsta,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handicap, boala cronica necontagioasa, infectare HIV, apartenenta la o categorie defavorizata sau orice alt criteriu ce ar avea ca scop sau effect estrângerea, inlaturarea recunoasterii, folosintei sau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exercitarii in conditii de egalitate a drepturilor omului si a libertatilor fundamentale sau a drepturilor recunoscute de lege.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Respecta normele de igiena;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Respecta secretul profesional si codul de etica;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Respecta programul de munca si regulamentul de organizare și functionare a serviciului social;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Participa la intalnirile de echipa impreuna cu ceilalti specialisti.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Elaboreaza lunar raportul de activitate si fisa de pontaj aferente propriei activitati.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Întocmeste si transmite lunar Coordonatorului partener documentele justificative ce rezulta din activitatea proprie desfasurata in cadrul proiectului.</w:t>
      </w:r>
    </w:p>
    <w:p w:rsidR="00000000" w:rsidDel="00000000" w:rsidP="00000000" w:rsidRDefault="00000000" w:rsidRPr="00000000" w14:paraId="0000007F">
      <w:pPr>
        <w:keepNext w:val="1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1f4e79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Executa orice alte dispozitii date de superiorul ierarhic, in limitele functiei, cu respectarea temeiului legal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1"/>
        <w:spacing w:after="80" w:before="28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1"/>
        <w:spacing w:after="80" w:before="280" w:lineRule="auto"/>
        <w:rPr>
          <w:rFonts w:ascii="Calibri" w:cs="Calibri" w:eastAsia="Calibri" w:hAnsi="Calibri"/>
          <w:b w:val="1"/>
          <w:bCs w:val="1"/>
          <w:color w:val="1f4e79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4e79"/>
          <w:sz w:val="20"/>
          <w:szCs w:val="20"/>
          <w:rtl w:val="0"/>
        </w:rPr>
        <w:t xml:space="preserve">V.2 – Fiziokinetoterapeut</w:t>
      </w:r>
    </w:p>
    <w:p w:rsidR="00000000" w:rsidDel="00000000" w:rsidP="00000000" w:rsidRDefault="00000000" w:rsidRPr="00000000" w14:paraId="00000082">
      <w:pPr>
        <w:spacing w:after="80" w:lineRule="auto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Conform Fișei de Post aprobate, principalele atribuții și sarcini ale postului sunt: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Contribuie la elaborarea regulamentului de functionare aplicabil in cadrul unitatii de ingrijire la domiciliu.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Supraveghează starea pacienţilor pe perioada aplicării procedurilor de recuperare.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Supraveghează şi înregistrează în permanenţă datele despre starea  --pacientului şi informează medicul asupra modificărilor intervenite.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Informează şi instruieşte pacientul asupra tratamentului pe care-l efectuează, asupra efectelor terapeutice şi asupra efectelor negative care pot apare.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Manifestă permanent o atitudine plină de solicitudine faţă de batrani.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 membru al echipei profesionale, stabileste planul de tratament specific, obiectivele specifice, programul de lucru, locul si modul de desfasurare.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Utilizeaza tehnici, exercitii, masajul, electroterapia si procedee conform conduitei terapeutice si obiectivelor fixate.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Asigură păstrarea şi utilizarea echipamentelor din dotare şi se preocupă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 buna funcţionare a acestora, semnalând defecţiunile.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Acordă primul ajutor în situaţii de urgenţă.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Răspunde de aplicarea şi respectarea normelor de prevenire şi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combatere a infecţiilor nosocomiale.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Respectă secretul profesional şi codul de etică al fiziokinetoterapeutului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medical.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Respectă şi apără drepturile pacientului conform legii.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 preocupă în permanenţă de actualizarea cunoştinţelor profesionale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prin studiu individual sau alte forme de educaţie continuă în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conformitate cu cerinţele postului.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Asigură păstrarea şi utilizarea echipamentelor din dotare şi se preocupă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 buna funcţionare a acestora, semnalând defecţiunile.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Utilizeaza corect dotarile postului fara sa isi puna in pericol propria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existenta, a batranilor sau a celorlalti angajati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Nu distruge sau nu-şi însuseşte bunuri din proprietatea centrului, fapta ce va duce la aplicarea legilor in vigoare;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1"/>
        <w:spacing w:after="80" w:before="280" w:lineRule="auto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4e79"/>
          <w:sz w:val="20"/>
          <w:szCs w:val="20"/>
          <w:rtl w:val="0"/>
        </w:rPr>
        <w:t xml:space="preserve">VI. Dosarul de concurs / înscriere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76" w:lineRule="auto"/>
        <w:ind w:left="36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Cerere de înscriere la concurs adresată conducătorului instituției;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Copia actului de identitate sau orice alt document care atestă identitatea, potrivit legii;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Copiile documentelor care atestă nivelul studiilor și ale altor acte care atestă efectuarea unor specializări / calificări / avize profesionale;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Curriculum Vitae (CV) datat și semnat de candidat;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Documente justificative care atestă experiența profesională specifică solicitată pentru post (copie carnet de muncă, adeverințe privind vechimea în muncă/specialitate, contracte de muncă/prestări servicii etc.);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Adeverință medicală care să ateste starea de sănătate corespunzătoare, eliberată de medicul de familie sau de către unitățile medicale abilitate;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Cazier judiciar sau declarație pe propria răspundere că nu are antecedente penale care să-l facă incompatibil cu funcția;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Declarație pe propria răspundere privind inexistența conflictului de interese sau a incompatibilităților în raport cu activitățile proiectului;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Alte documente relevante solicitate prin procedura internă de recrutare și selecție.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1"/>
        <w:spacing w:after="80" w:before="280" w:lineRule="auto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4e79"/>
          <w:sz w:val="20"/>
          <w:szCs w:val="20"/>
          <w:rtl w:val="0"/>
        </w:rPr>
        <w:t xml:space="preserve">VII. Calendarul orientativ de desfășurare a concursului</w:t>
      </w: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center"/>
        <w:tblBorders>
          <w:top w:color="1f4e79" w:space="0" w:sz="4" w:val="single"/>
          <w:left w:color="1f4e79" w:space="0" w:sz="4" w:val="single"/>
          <w:bottom w:color="1f4e79" w:space="0" w:sz="4" w:val="single"/>
          <w:right w:color="1f4e79" w:space="0" w:sz="4" w:val="single"/>
          <w:insideH w:color="1f4e79" w:space="0" w:sz="4" w:val="single"/>
          <w:insideV w:color="1f4e79" w:space="0" w:sz="4" w:val="single"/>
        </w:tblBorders>
        <w:tblLayout w:type="fixed"/>
        <w:tblLook w:val="0400"/>
      </w:tblPr>
      <w:tblGrid>
        <w:gridCol w:w="3270"/>
        <w:gridCol w:w="2775"/>
        <w:gridCol w:w="3315"/>
        <w:tblGridChange w:id="0">
          <w:tblGrid>
            <w:gridCol w:w="3270"/>
            <w:gridCol w:w="2775"/>
            <w:gridCol w:w="3315"/>
          </w:tblGrid>
        </w:tblGridChange>
      </w:tblGrid>
      <w:tr>
        <w:trPr>
          <w:cantSplit w:val="0"/>
          <w:tblHeader w:val="0"/>
        </w:trPr>
        <w:tc>
          <w:tcPr>
            <w:shd w:fill="1f4e79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A7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Etapă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9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A8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Data / Perioada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9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A9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Observații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AA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Publicarea anunțului de concurs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AB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21.10.2026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AC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Afișat la sediu și pe pagina web a instituției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AD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Depunerea dosarelor de concurs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AE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21.10.2026 -03.11.2026 ora 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AF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Interval orar: 09:00 - 12:00  la Registratură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B0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Selecția dosarelor de concurs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B1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04.11.2026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B2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Locație: Sediul UAT Comuna Valea Chioarului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B3">
            <w:pPr>
              <w:spacing w:after="40" w:before="40" w:lineRule="auto"/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Afișare rezultate selecție dosare</w:t>
            </w:r>
          </w:p>
        </w:tc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B4">
            <w:pPr>
              <w:spacing w:after="40" w:before="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05.11.2026, ora 16</w:t>
            </w:r>
          </w:p>
        </w:tc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B5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Locație: Sediul UAT Comuna Valea Chioarului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B6">
            <w:pPr>
              <w:spacing w:after="40" w:before="40" w:lineRule="auto"/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Depunere contestații selecție dosare</w:t>
            </w:r>
          </w:p>
        </w:tc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B7">
            <w:pPr>
              <w:spacing w:after="40" w:before="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06.11.2026, ora 14</w:t>
            </w:r>
          </w:p>
        </w:tc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B8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Locație: Sediul UAT Comuna Valea Chioarului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B9">
            <w:pPr>
              <w:spacing w:after="40" w:before="40" w:lineRule="auto"/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Soluționare contestații selectie dosare</w:t>
            </w:r>
          </w:p>
        </w:tc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BA">
            <w:pPr>
              <w:spacing w:after="40" w:before="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09.11.2026, ora 16</w:t>
            </w:r>
          </w:p>
        </w:tc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BB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Locație: Sediul UAT Comuna Valea Chioarului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BC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Proba scrisă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BD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11.11.2026, ora 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BE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Locație: Sediul UAT Comuna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Valea Chioarului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BF">
            <w:pPr>
              <w:spacing w:after="40" w:before="40" w:lineRule="auto"/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Afișare rezultate probă scrisă</w:t>
            </w:r>
          </w:p>
        </w:tc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0">
            <w:pPr>
              <w:spacing w:after="40" w:before="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11.11.2026, ora 16</w:t>
            </w:r>
          </w:p>
        </w:tc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1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Locație: Sediul UAT Comuna Valea Chioarului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2">
            <w:pPr>
              <w:spacing w:after="40" w:before="40" w:lineRule="auto"/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Depunere contestații proba scrisă</w:t>
            </w:r>
          </w:p>
        </w:tc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3">
            <w:pPr>
              <w:spacing w:after="40" w:before="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12.11.2026, ora 14</w:t>
            </w:r>
          </w:p>
        </w:tc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4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Locație: Sediul UAT Comuna Valea Chioarului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5">
            <w:pPr>
              <w:spacing w:after="40" w:before="40" w:lineRule="auto"/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Soluționare contestații</w:t>
            </w:r>
          </w:p>
        </w:tc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6">
            <w:pPr>
              <w:spacing w:after="40" w:before="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13.11.2026, ora 16</w:t>
            </w:r>
          </w:p>
        </w:tc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7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Locație: Sediul UAT Comuna Valea Chioarului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8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Interviu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9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17.11.2026, ora 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A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Locație: Sediul UAT Comuna Valea Chioarului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B">
            <w:pPr>
              <w:spacing w:after="40" w:before="40" w:lineRule="auto"/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Afișare rezultate interviu</w:t>
            </w:r>
          </w:p>
        </w:tc>
        <w:tc>
          <w:tcPr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C">
            <w:pPr>
              <w:spacing w:after="40" w:before="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17.11.2026, ora 16</w:t>
            </w:r>
          </w:p>
        </w:tc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D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Locație: Sediul UAT Comuna Valea Chioarului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E">
            <w:pPr>
              <w:spacing w:after="40" w:before="40" w:lineRule="auto"/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Depunere contestații interviu</w:t>
            </w:r>
          </w:p>
        </w:tc>
        <w:tc>
          <w:tcPr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CF">
            <w:pPr>
              <w:spacing w:after="40" w:before="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18.11.2026, ora 16</w:t>
            </w:r>
          </w:p>
        </w:tc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D0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Locație: Sediul UAT Comuna Valea Chioarului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D1">
            <w:pPr>
              <w:spacing w:after="40" w:before="40" w:lineRule="auto"/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Soluționare contestații interviu</w:t>
            </w:r>
          </w:p>
        </w:tc>
        <w:tc>
          <w:tcPr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D2">
            <w:pPr>
              <w:spacing w:after="40" w:before="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19.11.2026, ora 14</w:t>
            </w:r>
          </w:p>
        </w:tc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D3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Locație: Sediul UAT Comuna Valea Chioarului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D4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Afișarea rezultatelor finale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D5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20.11.2026, ora 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5f8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D6">
            <w:pPr>
              <w:spacing w:after="40" w:before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Afișat la sediul UAT Comuna Valea Chioarului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7">
      <w:pPr>
        <w:keepNext w:val="1"/>
        <w:spacing w:after="80" w:before="280" w:lineRule="auto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4e79"/>
          <w:sz w:val="20"/>
          <w:szCs w:val="20"/>
          <w:rtl w:val="0"/>
        </w:rPr>
        <w:t xml:space="preserve">VIII. Probe de concurs și evaluare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spacing w:after="80" w:lineRule="auto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Concursul constă în următoarele etape succesive de evaluare: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76" w:lineRule="auto"/>
        <w:ind w:left="36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Selecția dosarelor de înscriere: etapă eliminatorie (Admis / Respins).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Proba scrisă: maximum 100 de puncte.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Interviu / Probă practică (după caz): maximum 100 de puncte.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Punctajul final se calculează ca medie aritmetică a punctajelor obținute la probele susținute.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1"/>
        <w:spacing w:after="80" w:before="280" w:lineRule="auto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4e79"/>
          <w:sz w:val="20"/>
          <w:szCs w:val="20"/>
          <w:rtl w:val="0"/>
        </w:rPr>
        <w:t xml:space="preserve">IX. Bibliografie și tematică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pacing w:after="120" w:lineRule="auto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Tematica și bibliografia specifice postului sunt aprobate de către conducerea instituției și se pot consulta pe site-ul comunei Valea Chioarului,  la adresa www.valeachioarului.ro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keepNext w:val="1"/>
        <w:spacing w:after="80" w:before="280" w:lineRule="auto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4e79"/>
          <w:sz w:val="20"/>
          <w:szCs w:val="20"/>
          <w:rtl w:val="0"/>
        </w:rPr>
        <w:t xml:space="preserve">X. Informații suplimentare și depunerea dosarelor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spacing w:after="40" w:lineRule="auto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Persoană de contact / Secretariat concurs: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Munteanu Mirela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pacing w:after="40" w:lineRule="auto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Telefon: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0722695401  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E-mail: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primaria@valeachioarului.ro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spacing w:after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Adresă depunere dosare: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Sediul UAT Comuna Valea Chioarului, Registratura.</w:t>
      </w:r>
    </w:p>
    <w:p w:rsidR="00000000" w:rsidDel="00000000" w:rsidP="00000000" w:rsidRDefault="00000000" w:rsidRPr="00000000" w14:paraId="000000E3">
      <w:pPr>
        <w:spacing w:after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pacing w:after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spacing w:after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spacing w:after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after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pacing w:after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after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spacing w:after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spacing w:after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after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after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after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after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after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3312.0" w:type="dxa"/>
        <w:jc w:val="center"/>
        <w:tblBorders>
          <w:top w:color="cccccc" w:space="0" w:sz="4" w:val="single"/>
          <w:left w:color="cccccc" w:space="0" w:sz="4" w:val="single"/>
          <w:bottom w:color="cccccc" w:space="0" w:sz="4" w:val="single"/>
          <w:right w:color="cccccc" w:space="0" w:sz="4" w:val="single"/>
          <w:insideH w:color="cccccc" w:space="0" w:sz="4" w:val="single"/>
          <w:insideV w:color="cccccc" w:space="0" w:sz="4" w:val="single"/>
        </w:tblBorders>
        <w:tblLayout w:type="fixed"/>
        <w:tblLook w:val="0400"/>
      </w:tblPr>
      <w:tblGrid>
        <w:gridCol w:w="3312"/>
        <w:tblGridChange w:id="0">
          <w:tblGrid>
            <w:gridCol w:w="3312"/>
          </w:tblGrid>
        </w:tblGridChange>
      </w:tblGrid>
      <w:tr>
        <w:trPr>
          <w:cantSplit w:val="0"/>
          <w:tblHeader w:val="0"/>
        </w:trPr>
        <w:tc>
          <w:tcPr>
            <w:shd w:fill="e6eef4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F1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Aprobat - Reprezentant Legal</w:t>
            </w:r>
          </w:p>
          <w:p w:rsidR="00000000" w:rsidDel="00000000" w:rsidP="00000000" w:rsidRDefault="00000000" w:rsidRPr="00000000" w14:paraId="000000F2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Primar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20.0" w:type="dxa"/>
              <w:left w:w="100.0" w:type="dxa"/>
              <w:bottom w:w="120.0" w:type="dxa"/>
              <w:right w:w="100.0" w:type="dxa"/>
            </w:tcMar>
          </w:tcPr>
          <w:p w:rsidR="00000000" w:rsidDel="00000000" w:rsidP="00000000" w:rsidRDefault="00000000" w:rsidRPr="00000000" w14:paraId="000000F3">
            <w:pPr>
              <w:spacing w:after="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Burde Ioan Sorin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17"/>
        <w:szCs w:val="17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40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40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link w:val="BodyTextChar"/>
    <w:uiPriority w:val="99"/>
    <w:unhideWhenUsed w:val="1"/>
    <w:qFormat w:val="1"/>
    <w:pPr>
      <w:spacing w:after="120"/>
    </w:pPr>
  </w:style>
  <w:style w:type="paragraph" w:styleId="BodyText2">
    <w:name w:val="Body Text 2"/>
    <w:basedOn w:val="Normal"/>
    <w:link w:val="BodyText2Char"/>
    <w:uiPriority w:val="99"/>
    <w:unhideWhenUsed w:val="1"/>
    <w:qFormat w:val="1"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 w:val="1"/>
    <w:qFormat w:val="1"/>
    <w:pPr>
      <w:spacing w:after="120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Emphasis">
    <w:name w:val="Emphasis"/>
    <w:basedOn w:val="DefaultParagraphFont"/>
    <w:uiPriority w:val="20"/>
    <w:qFormat w:val="1"/>
    <w:rPr>
      <w:i w:val="1"/>
      <w:iCs w:val="1"/>
    </w:rPr>
  </w:style>
  <w:style w:type="paragraph" w:styleId="Footer">
    <w:name w:val="footer"/>
    <w:basedOn w:val="Normal"/>
    <w:link w:val="FooterChar"/>
    <w:uiPriority w:val="99"/>
    <w:unhideWhenUsed w:val="1"/>
    <w:qFormat w:val="1"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 w:val="1"/>
    <w:qFormat w:val="1"/>
    <w:pPr>
      <w:tabs>
        <w:tab w:val="center" w:pos="4680"/>
        <w:tab w:val="right" w:pos="9360"/>
      </w:tabs>
      <w:spacing w:after="0" w:line="240" w:lineRule="auto"/>
    </w:pPr>
  </w:style>
  <w:style w:type="paragraph" w:styleId="List">
    <w:name w:val="List"/>
    <w:basedOn w:val="Normal"/>
    <w:uiPriority w:val="99"/>
    <w:unhideWhenUsed w:val="1"/>
    <w:qFormat w:val="1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qFormat w:val="1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qFormat w:val="1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qFormat w:val="1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qFormat w:val="1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qFormat w:val="1"/>
    <w:pPr>
      <w:numPr>
        <w:numId w:val="3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qFormat w:val="1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qFormat w:val="1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qFormat w:val="1"/>
    <w:pPr>
      <w:spacing w:after="120"/>
      <w:ind w:left="1080"/>
      <w:contextualSpacing w:val="1"/>
    </w:pPr>
  </w:style>
  <w:style w:type="paragraph" w:styleId="ListNumber">
    <w:name w:val="List Number"/>
    <w:basedOn w:val="Normal"/>
    <w:uiPriority w:val="99"/>
    <w:unhideWhenUsed w:val="1"/>
    <w:qFormat w:val="1"/>
    <w:pPr>
      <w:numPr>
        <w:numId w:val="4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qFormat w:val="1"/>
    <w:pPr>
      <w:numPr>
        <w:numId w:val="5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qFormat w:val="1"/>
    <w:pPr>
      <w:numPr>
        <w:numId w:val="6"/>
      </w:numPr>
      <w:contextualSpacing w:val="1"/>
    </w:pPr>
  </w:style>
  <w:style w:type="paragraph" w:styleId="MacroText">
    <w:name w:val="macro"/>
    <w:link w:val="MacroTextChar"/>
    <w:uiPriority w:val="99"/>
    <w:unhideWhenUsed w:val="1"/>
    <w:qFormat w:val="1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</w:rPr>
  </w:style>
  <w:style w:type="character" w:styleId="Strong">
    <w:name w:val="Strong"/>
    <w:basedOn w:val="DefaultParagraphFont"/>
    <w:uiPriority w:val="22"/>
    <w:qFormat w:val="1"/>
    <w:rPr>
      <w:b w:val="1"/>
      <w:bCs w:val="1"/>
    </w:rPr>
  </w:style>
  <w:style w:type="table" w:styleId="TableGrid">
    <w:name w:val="Table Grid"/>
    <w:basedOn w:val="TableNormal"/>
    <w:uiPriority w:val="59"/>
    <w:qFormat w:val="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LightShading">
    <w:name w:val="Light Shading"/>
    <w:basedOn w:val="TableNormal"/>
    <w:uiPriority w:val="60"/>
    <w:qFormat w:val="1"/>
    <w:rPr>
      <w:color w:val="000000" w:themeColor="text1" w:themeShade="0000BF"/>
    </w:rPr>
    <w:tblPr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qFormat w:val="1"/>
    <w:rPr>
      <w:color w:val="365f91" w:themeColor="accent1" w:themeShade="0000BF"/>
    </w:rPr>
    <w:tblPr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qFormat w:val="1"/>
    <w:rPr>
      <w:color w:val="943634" w:themeColor="accent2" w:themeShade="0000BF"/>
    </w:rPr>
    <w:tblPr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qFormat w:val="1"/>
    <w:rPr>
      <w:color w:val="76923c" w:themeColor="accent3" w:themeShade="0000BF"/>
    </w:rPr>
    <w:tblPr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qFormat w:val="1"/>
    <w:rPr>
      <w:color w:val="5f497a" w:themeColor="accent4" w:themeShade="0000BF"/>
    </w:rPr>
    <w:tblPr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qFormat w:val="1"/>
    <w:rPr>
      <w:color w:val="31849b" w:themeColor="accent5" w:themeShade="0000BF"/>
    </w:rPr>
    <w:tblPr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qFormat w:val="1"/>
    <w:rPr>
      <w:color w:val="e36c0a" w:themeColor="accent6" w:themeShade="0000BF"/>
    </w:rPr>
    <w:tblPr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qFormat w:val="1"/>
    <w:tblPr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qFormat w:val="1"/>
    <w:tblPr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qFormat w:val="1"/>
    <w:tblPr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qFormat w:val="1"/>
    <w:tblPr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qFormat w:val="1"/>
    <w:tblPr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qFormat w:val="1"/>
    <w:tblPr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qFormat w:val="1"/>
    <w:tblPr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qFormat w:val="1"/>
    <w:tblPr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auto" w:space="0" w:sz="8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auto" w:space="0" w:sz="8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auto" w:space="0" w:sz="8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auto" w:space="0" w:sz="8" w:val="single"/>
        </w:tcBorders>
      </w:tcPr>
    </w:tblStylePr>
  </w:style>
  <w:style w:type="table" w:styleId="LightGrid-Accent1">
    <w:name w:val="Light Grid Accent 1"/>
    <w:basedOn w:val="TableNormal"/>
    <w:uiPriority w:val="62"/>
    <w:qFormat w:val="1"/>
    <w:tblPr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auto" w:space="0" w:sz="8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auto" w:space="0" w:sz="8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auto" w:space="0" w:sz="8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auto" w:space="0" w:sz="8" w:val="single"/>
        </w:tcBorders>
      </w:tcPr>
    </w:tblStylePr>
  </w:style>
  <w:style w:type="table" w:styleId="LightGrid-Accent2">
    <w:name w:val="Light Grid Accent 2"/>
    <w:basedOn w:val="TableNormal"/>
    <w:uiPriority w:val="62"/>
    <w:qFormat w:val="1"/>
    <w:tblPr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auto" w:space="0" w:sz="8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auto" w:space="0" w:sz="8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auto" w:space="0" w:sz="8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auto" w:space="0" w:sz="8" w:val="single"/>
        </w:tcBorders>
      </w:tcPr>
    </w:tblStylePr>
  </w:style>
  <w:style w:type="table" w:styleId="LightGrid-Accent3">
    <w:name w:val="Light Grid Accent 3"/>
    <w:basedOn w:val="TableNormal"/>
    <w:uiPriority w:val="62"/>
    <w:qFormat w:val="1"/>
    <w:tblPr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auto" w:space="0" w:sz="8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auto" w:space="0" w:sz="8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auto" w:space="0" w:sz="8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auto" w:space="0" w:sz="8" w:val="single"/>
        </w:tcBorders>
      </w:tcPr>
    </w:tblStylePr>
  </w:style>
  <w:style w:type="table" w:styleId="LightGrid-Accent4">
    <w:name w:val="Light Grid Accent 4"/>
    <w:basedOn w:val="TableNormal"/>
    <w:uiPriority w:val="62"/>
    <w:qFormat w:val="1"/>
    <w:tblPr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auto" w:space="0" w:sz="8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auto" w:space="0" w:sz="8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auto" w:space="0" w:sz="8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auto" w:space="0" w:sz="8" w:val="single"/>
        </w:tcBorders>
      </w:tcPr>
    </w:tblStylePr>
  </w:style>
  <w:style w:type="table" w:styleId="LightGrid-Accent5">
    <w:name w:val="Light Grid Accent 5"/>
    <w:basedOn w:val="TableNormal"/>
    <w:uiPriority w:val="62"/>
    <w:qFormat w:val="1"/>
    <w:tblPr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auto" w:space="0" w:sz="8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auto" w:space="0" w:sz="8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auto" w:space="0" w:sz="8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auto" w:space="0" w:sz="8" w:val="single"/>
        </w:tcBorders>
      </w:tcPr>
    </w:tblStylePr>
  </w:style>
  <w:style w:type="table" w:styleId="LightGrid-Accent6">
    <w:name w:val="Light Grid Accent 6"/>
    <w:basedOn w:val="TableNormal"/>
    <w:uiPriority w:val="62"/>
    <w:qFormat w:val="1"/>
    <w:tblPr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auto" w:space="0" w:sz="8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auto" w:space="0" w:sz="8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auto" w:space="0" w:sz="8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auto" w:space="0" w:sz="8" w:val="single"/>
        </w:tcBorders>
      </w:tcPr>
    </w:tblStylePr>
  </w:style>
  <w:style w:type="table" w:styleId="MediumShading1">
    <w:name w:val="Medium Shading 1"/>
    <w:basedOn w:val="TableNormal"/>
    <w:uiPriority w:val="63"/>
    <w:qFormat w:val="1"/>
    <w:tblPr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qFormat w:val="1"/>
    <w:tblPr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qFormat w:val="1"/>
    <w:tblPr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qFormat w:val="1"/>
    <w:tblPr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qFormat w:val="1"/>
    <w:tblPr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qFormat w:val="1"/>
    <w:tblPr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qFormat w:val="1"/>
    <w:tblPr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qFormat w:val="1"/>
    <w:tblPr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qFormat w:val="1"/>
    <w:tblPr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qFormat w:val="1"/>
    <w:tblPr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qFormat w:val="1"/>
    <w:tblPr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qFormat w:val="1"/>
    <w:tblPr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qFormat w:val="1"/>
    <w:tblPr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qFormat w:val="1"/>
    <w:tblPr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qFormat w:val="1"/>
    <w:rPr>
      <w:color w:val="000000" w:themeColor="text1"/>
    </w:rPr>
    <w:tblPr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qFormat w:val="1"/>
    <w:rPr>
      <w:color w:val="000000" w:themeColor="text1"/>
    </w:rPr>
    <w:tblPr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qFormat w:val="1"/>
    <w:rPr>
      <w:color w:val="000000" w:themeColor="text1"/>
    </w:rPr>
    <w:tblPr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qFormat w:val="1"/>
    <w:rPr>
      <w:color w:val="000000" w:themeColor="text1"/>
    </w:rPr>
    <w:tblPr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qFormat w:val="1"/>
    <w:rPr>
      <w:color w:val="000000" w:themeColor="text1"/>
    </w:rPr>
    <w:tblPr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qFormat w:val="1"/>
    <w:rPr>
      <w:color w:val="000000" w:themeColor="text1"/>
    </w:rPr>
    <w:tblPr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qFormat w:val="1"/>
    <w:rPr>
      <w:color w:val="000000" w:themeColor="text1"/>
    </w:rPr>
    <w:tblPr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qFormat w:val="1"/>
    <w:rPr>
      <w:rFonts w:asciiTheme="majorHAnsi" w:cstheme="majorBidi" w:eastAsiaTheme="majorEastAsia" w:hAnsiTheme="majorHAnsi"/>
      <w:color w:val="000000" w:themeColor="text1"/>
    </w:rPr>
    <w:tblPr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qFormat w:val="1"/>
    <w:rPr>
      <w:rFonts w:asciiTheme="majorHAnsi" w:cstheme="majorBidi" w:eastAsiaTheme="majorEastAsia" w:hAnsiTheme="majorHAnsi"/>
      <w:color w:val="000000" w:themeColor="text1"/>
    </w:rPr>
    <w:tblPr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qFormat w:val="1"/>
    <w:rPr>
      <w:rFonts w:asciiTheme="majorHAnsi" w:cstheme="majorBidi" w:eastAsiaTheme="majorEastAsia" w:hAnsiTheme="majorHAnsi"/>
      <w:color w:val="000000" w:themeColor="text1"/>
    </w:rPr>
    <w:tblPr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qFormat w:val="1"/>
    <w:rPr>
      <w:rFonts w:asciiTheme="majorHAnsi" w:cstheme="majorBidi" w:eastAsiaTheme="majorEastAsia" w:hAnsiTheme="majorHAnsi"/>
      <w:color w:val="000000" w:themeColor="text1"/>
    </w:rPr>
    <w:tblPr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qFormat w:val="1"/>
    <w:rPr>
      <w:rFonts w:asciiTheme="majorHAnsi" w:cstheme="majorBidi" w:eastAsiaTheme="majorEastAsia" w:hAnsiTheme="majorHAnsi"/>
      <w:color w:val="000000" w:themeColor="text1"/>
    </w:rPr>
    <w:tblPr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qFormat w:val="1"/>
    <w:rPr>
      <w:rFonts w:asciiTheme="majorHAnsi" w:cstheme="majorBidi" w:eastAsiaTheme="majorEastAsia" w:hAnsiTheme="majorHAnsi"/>
      <w:color w:val="000000" w:themeColor="text1"/>
    </w:rPr>
    <w:tblPr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qFormat w:val="1"/>
    <w:rPr>
      <w:rFonts w:asciiTheme="majorHAnsi" w:cstheme="majorBidi" w:eastAsiaTheme="majorEastAsia" w:hAnsiTheme="majorHAnsi"/>
      <w:color w:val="000000" w:themeColor="text1"/>
    </w:rPr>
    <w:tblPr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qFormat w:val="1"/>
    <w:tblPr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qFormat w:val="1"/>
    <w:tblPr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qFormat w:val="1"/>
    <w:tblPr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qFormat w:val="1"/>
    <w:tblPr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qFormat w:val="1"/>
    <w:tblPr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qFormat w:val="1"/>
    <w:tblPr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qFormat w:val="1"/>
    <w:tblPr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qFormat w:val="1"/>
    <w:rPr>
      <w:rFonts w:asciiTheme="majorHAnsi" w:cstheme="majorBidi" w:eastAsiaTheme="majorEastAsia" w:hAnsiTheme="majorHAnsi"/>
      <w:color w:val="000000" w:themeColor="text1"/>
    </w:rPr>
    <w:tblPr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auto" w:space="0" w:sz="6" w:val="single"/>
          <w:insideV w:color="auto" w:space="0" w:sz="6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qFormat w:val="1"/>
    <w:rPr>
      <w:rFonts w:asciiTheme="majorHAnsi" w:cstheme="majorBidi" w:eastAsiaTheme="majorEastAsia" w:hAnsiTheme="majorHAnsi"/>
      <w:color w:val="000000" w:themeColor="text1"/>
    </w:rPr>
    <w:tblPr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auto" w:space="0" w:sz="6" w:val="single"/>
          <w:insideV w:color="auto" w:space="0" w:sz="6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qFormat w:val="1"/>
    <w:rPr>
      <w:rFonts w:asciiTheme="majorHAnsi" w:cstheme="majorBidi" w:eastAsiaTheme="majorEastAsia" w:hAnsiTheme="majorHAnsi"/>
      <w:color w:val="000000" w:themeColor="text1"/>
    </w:rPr>
    <w:tblPr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auto" w:space="0" w:sz="6" w:val="single"/>
          <w:insideV w:color="auto" w:space="0" w:sz="6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qFormat w:val="1"/>
    <w:rPr>
      <w:rFonts w:asciiTheme="majorHAnsi" w:cstheme="majorBidi" w:eastAsiaTheme="majorEastAsia" w:hAnsiTheme="majorHAnsi"/>
      <w:color w:val="000000" w:themeColor="text1"/>
    </w:rPr>
    <w:tblPr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auto" w:space="0" w:sz="6" w:val="single"/>
          <w:insideV w:color="auto" w:space="0" w:sz="6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qFormat w:val="1"/>
    <w:rPr>
      <w:rFonts w:asciiTheme="majorHAnsi" w:cstheme="majorBidi" w:eastAsiaTheme="majorEastAsia" w:hAnsiTheme="majorHAnsi"/>
      <w:color w:val="000000" w:themeColor="text1"/>
    </w:rPr>
    <w:tblPr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auto" w:space="0" w:sz="6" w:val="single"/>
          <w:insideV w:color="auto" w:space="0" w:sz="6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qFormat w:val="1"/>
    <w:rPr>
      <w:rFonts w:asciiTheme="majorHAnsi" w:cstheme="majorBidi" w:eastAsiaTheme="majorEastAsia" w:hAnsiTheme="majorHAnsi"/>
      <w:color w:val="000000" w:themeColor="text1"/>
    </w:rPr>
    <w:tblPr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auto" w:space="0" w:sz="6" w:val="single"/>
          <w:insideV w:color="auto" w:space="0" w:sz="6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qFormat w:val="1"/>
    <w:rPr>
      <w:rFonts w:asciiTheme="majorHAnsi" w:cstheme="majorBidi" w:eastAsiaTheme="majorEastAsia" w:hAnsiTheme="majorHAnsi"/>
      <w:color w:val="000000" w:themeColor="text1"/>
    </w:rPr>
    <w:tblPr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auto" w:space="0" w:sz="6" w:val="single"/>
          <w:insideV w:color="auto" w:space="0" w:sz="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qFormat w:val="1"/>
    <w:tblPr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auto" w:space="0" w:sz="8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auto" w:space="0" w:sz="8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auto" w:space="0" w:sz="8" w:val="single"/>
          <w:insideV w:color="auto" w:space="0" w:sz="8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qFormat w:val="1"/>
    <w:tblPr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auto" w:space="0" w:sz="8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auto" w:space="0" w:sz="8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auto" w:space="0" w:sz="8" w:val="single"/>
          <w:insideV w:color="auto" w:space="0" w:sz="8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qFormat w:val="1"/>
    <w:tblPr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auto" w:space="0" w:sz="8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auto" w:space="0" w:sz="8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auto" w:space="0" w:sz="8" w:val="single"/>
          <w:insideV w:color="auto" w:space="0" w:sz="8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qFormat w:val="1"/>
    <w:tblPr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auto" w:space="0" w:sz="8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auto" w:space="0" w:sz="8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auto" w:space="0" w:sz="8" w:val="single"/>
          <w:insideV w:color="auto" w:space="0" w:sz="8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qFormat w:val="1"/>
    <w:tblPr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auto" w:space="0" w:sz="8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auto" w:space="0" w:sz="8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auto" w:space="0" w:sz="8" w:val="single"/>
          <w:insideV w:color="auto" w:space="0" w:sz="8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qFormat w:val="1"/>
    <w:tblPr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auto" w:space="0" w:sz="8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auto" w:space="0" w:sz="8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auto" w:space="0" w:sz="8" w:val="single"/>
          <w:insideV w:color="auto" w:space="0" w:sz="8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qFormat w:val="1"/>
    <w:tblPr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auto" w:space="0" w:sz="8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auto" w:space="0" w:sz="8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auto" w:space="0" w:sz="8" w:val="single"/>
          <w:insideV w:color="auto" w:space="0" w:sz="8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qFormat w:val="1"/>
    <w:rPr>
      <w:color w:val="ffffff" w:themeColor="background1"/>
    </w:rPr>
    <w:tblPr/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qFormat w:val="1"/>
    <w:rPr>
      <w:color w:val="ffffff" w:themeColor="background1"/>
    </w:rPr>
    <w:tblPr/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qFormat w:val="1"/>
    <w:rPr>
      <w:color w:val="ffffff" w:themeColor="background1"/>
    </w:rPr>
    <w:tblPr/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qFormat w:val="1"/>
    <w:rPr>
      <w:color w:val="ffffff" w:themeColor="background1"/>
    </w:rPr>
    <w:tblPr/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qFormat w:val="1"/>
    <w:rPr>
      <w:color w:val="ffffff" w:themeColor="background1"/>
    </w:rPr>
    <w:tblPr/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qFormat w:val="1"/>
    <w:rPr>
      <w:color w:val="ffffff" w:themeColor="background1"/>
    </w:rPr>
    <w:tblPr/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qFormat w:val="1"/>
    <w:rPr>
      <w:color w:val="ffffff" w:themeColor="background1"/>
    </w:rPr>
    <w:tblPr/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qFormat w:val="1"/>
    <w:rPr>
      <w:color w:val="000000" w:themeColor="text1"/>
    </w:rPr>
    <w:tblPr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auto" w:space="0" w:sz="4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qFormat w:val="1"/>
    <w:rPr>
      <w:color w:val="000000" w:themeColor="text1"/>
    </w:rPr>
    <w:tblPr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auto" w:space="0" w:sz="4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qFormat w:val="1"/>
    <w:rPr>
      <w:color w:val="000000" w:themeColor="text1"/>
    </w:rPr>
    <w:tblPr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auto" w:space="0" w:sz="4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qFormat w:val="1"/>
    <w:rPr>
      <w:color w:val="000000" w:themeColor="text1"/>
    </w:rPr>
    <w:tblPr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auto" w:space="0" w:sz="4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qFormat w:val="1"/>
    <w:rPr>
      <w:color w:val="000000" w:themeColor="text1"/>
    </w:rPr>
    <w:tblPr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auto" w:space="0" w:sz="4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qFormat w:val="1"/>
    <w:rPr>
      <w:color w:val="000000" w:themeColor="text1"/>
    </w:rPr>
    <w:tblPr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auto" w:space="0" w:sz="4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qFormat w:val="1"/>
    <w:rPr>
      <w:color w:val="000000" w:themeColor="text1"/>
    </w:rPr>
    <w:tblPr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auto" w:space="0" w:sz="4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qFormat w:val="1"/>
    <w:rPr>
      <w:color w:val="000000" w:themeColor="text1"/>
    </w:rPr>
    <w:tblPr/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qFormat w:val="1"/>
    <w:rPr>
      <w:color w:val="000000" w:themeColor="text1"/>
    </w:rPr>
    <w:tblPr/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qFormat w:val="1"/>
    <w:rPr>
      <w:color w:val="000000" w:themeColor="text1"/>
    </w:rPr>
    <w:tblPr/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qFormat w:val="1"/>
    <w:rPr>
      <w:color w:val="000000" w:themeColor="text1"/>
    </w:rPr>
    <w:tblPr/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qFormat w:val="1"/>
    <w:rPr>
      <w:color w:val="000000" w:themeColor="text1"/>
    </w:rPr>
    <w:tblPr/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qFormat w:val="1"/>
    <w:rPr>
      <w:color w:val="000000" w:themeColor="text1"/>
    </w:rPr>
    <w:tblPr/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qFormat w:val="1"/>
    <w:rPr>
      <w:color w:val="000000" w:themeColor="text1"/>
    </w:rPr>
    <w:tblPr/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qFormat w:val="1"/>
    <w:rPr>
      <w:color w:val="000000" w:themeColor="text1"/>
    </w:rPr>
    <w:tblPr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qFormat w:val="1"/>
    <w:rPr>
      <w:color w:val="000000" w:themeColor="text1"/>
    </w:rPr>
    <w:tblPr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qFormat w:val="1"/>
    <w:rPr>
      <w:color w:val="000000" w:themeColor="text1"/>
    </w:rPr>
    <w:tblPr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qFormat w:val="1"/>
    <w:rPr>
      <w:color w:val="000000" w:themeColor="text1"/>
    </w:rPr>
    <w:tblPr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qFormat w:val="1"/>
    <w:rPr>
      <w:color w:val="000000" w:themeColor="text1"/>
    </w:rPr>
    <w:tblPr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qFormat w:val="1"/>
    <w:rPr>
      <w:color w:val="000000" w:themeColor="text1"/>
    </w:rPr>
    <w:tblPr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qFormat w:val="1"/>
    <w:rPr>
      <w:color w:val="000000" w:themeColor="text1"/>
    </w:rPr>
    <w:tblPr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character" w:styleId="HeaderChar" w:customStyle="1">
    <w:name w:val="Header Char"/>
    <w:basedOn w:val="DefaultParagraphFont"/>
    <w:link w:val="Header"/>
    <w:uiPriority w:val="99"/>
    <w:qFormat w:val="1"/>
  </w:style>
  <w:style w:type="character" w:styleId="FooterChar" w:customStyle="1">
    <w:name w:val="Footer Char"/>
    <w:basedOn w:val="DefaultParagraphFont"/>
    <w:link w:val="Footer"/>
    <w:uiPriority w:val="99"/>
    <w:qFormat w:val="1"/>
  </w:style>
  <w:style w:type="paragraph" w:styleId="NoSpacing">
    <w:name w:val="No Spacing"/>
    <w:uiPriority w:val="1"/>
    <w:qFormat w:val="1"/>
    <w:rPr>
      <w:sz w:val="22"/>
      <w:szCs w:val="22"/>
    </w:rPr>
  </w:style>
  <w:style w:type="character" w:styleId="Heading1Char" w:customStyle="1">
    <w:name w:val="Heading 1 Char"/>
    <w:basedOn w:val="DefaultParagraphFont"/>
    <w:link w:val="Heading1"/>
    <w:uiPriority w:val="9"/>
    <w:qFormat w:val="1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 w:val="1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 w:val="1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qFormat w:val="1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 w:val="1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pPr>
      <w:ind w:left="720"/>
      <w:contextualSpacing w:val="1"/>
    </w:pPr>
  </w:style>
  <w:style w:type="character" w:styleId="BodyTextChar" w:customStyle="1">
    <w:name w:val="Body Text Char"/>
    <w:basedOn w:val="DefaultParagraphFont"/>
    <w:link w:val="BodyText"/>
    <w:uiPriority w:val="99"/>
    <w:qFormat w:val="1"/>
  </w:style>
  <w:style w:type="character" w:styleId="BodyText2Char" w:customStyle="1">
    <w:name w:val="Body Text 2 Char"/>
    <w:basedOn w:val="DefaultParagraphFont"/>
    <w:link w:val="BodyText2"/>
    <w:uiPriority w:val="99"/>
    <w:qFormat w:val="1"/>
  </w:style>
  <w:style w:type="character" w:styleId="BodyText3Char" w:customStyle="1">
    <w:name w:val="Body Text 3 Char"/>
    <w:basedOn w:val="DefaultParagraphFont"/>
    <w:link w:val="BodyText3"/>
    <w:uiPriority w:val="99"/>
    <w:qFormat w:val="1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 w:val="1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qFormat w:val="1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qFormat w:val="1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qFormat w:val="1"/>
    <w:rPr>
      <w:rFonts w:asciiTheme="majorHAnsi" w:cstheme="majorBidi" w:eastAsiaTheme="majorEastAsia" w:hAnsiTheme="majorHAnsi"/>
      <w:color w:val="244061" w:themeColor="accent1" w:themeShade="000080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qFormat w:val="1"/>
    <w:rPr>
      <w:rFonts w:asciiTheme="majorHAnsi" w:cstheme="majorBidi" w:eastAsiaTheme="majorEastAsia" w:hAnsiTheme="majorHAnsi"/>
      <w:i w:val="1"/>
      <w:iCs w:val="1"/>
      <w:color w:val="244061" w:themeColor="accent1" w:themeShade="000080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qFormat w:val="1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qFormat w:val="1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qFormat w:val="1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qFormat w:val="1"/>
    <w:rPr>
      <w:b w:val="1"/>
      <w:bCs w:val="1"/>
      <w:i w:val="1"/>
      <w:iCs w:val="1"/>
      <w:color w:val="4f81bd" w:themeColor="accent1"/>
    </w:rPr>
  </w:style>
  <w:style w:type="character" w:styleId="SubtleEmphasis1" w:customStyle="1">
    <w:name w:val="Subtle Emphasis1"/>
    <w:basedOn w:val="DefaultParagraphFont"/>
    <w:uiPriority w:val="19"/>
    <w:qFormat w:val="1"/>
    <w:rPr>
      <w:i w:val="1"/>
      <w:iCs w:val="1"/>
      <w:color w:val="7f7f7f" w:themeColor="text1" w:themeTint="000080"/>
    </w:rPr>
  </w:style>
  <w:style w:type="character" w:styleId="IntenseEmphasis1" w:customStyle="1">
    <w:name w:val="Intense Emphasis1"/>
    <w:basedOn w:val="DefaultParagraphFont"/>
    <w:uiPriority w:val="21"/>
    <w:qFormat w:val="1"/>
    <w:rPr>
      <w:b w:val="1"/>
      <w:bCs w:val="1"/>
      <w:i w:val="1"/>
      <w:iCs w:val="1"/>
      <w:color w:val="4f81bd" w:themeColor="accent1"/>
    </w:rPr>
  </w:style>
  <w:style w:type="character" w:styleId="SubtleReference1" w:customStyle="1">
    <w:name w:val="Subtle Reference1"/>
    <w:basedOn w:val="DefaultParagraphFont"/>
    <w:uiPriority w:val="31"/>
    <w:qFormat w:val="1"/>
    <w:rPr>
      <w:smallCaps w:val="1"/>
      <w:color w:val="c0504d" w:themeColor="accent2"/>
      <w:u w:val="single"/>
    </w:rPr>
  </w:style>
  <w:style w:type="character" w:styleId="IntenseReference1" w:customStyle="1">
    <w:name w:val="Intense Reference1"/>
    <w:basedOn w:val="DefaultParagraphFont"/>
    <w:uiPriority w:val="32"/>
    <w:qFormat w:val="1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1" w:customStyle="1">
    <w:name w:val="Book Title1"/>
    <w:basedOn w:val="DefaultParagraphFont"/>
    <w:uiPriority w:val="33"/>
    <w:qFormat w:val="1"/>
    <w:rPr>
      <w:b w:val="1"/>
      <w:bCs w:val="1"/>
      <w:smallCaps w:val="1"/>
      <w:spacing w:val="5"/>
    </w:rPr>
  </w:style>
  <w:style w:type="paragraph" w:styleId="TOCHeading1" w:customStyle="1">
    <w:name w:val="TOC Heading1"/>
    <w:basedOn w:val="Heading1"/>
    <w:next w:val="Normal"/>
    <w:uiPriority w:val="39"/>
    <w:semiHidden w:val="1"/>
    <w:unhideWhenUsed w:val="1"/>
    <w:qFormat w:val="1"/>
    <w:pPr>
      <w:outlineLvl w:val="9"/>
    </w:p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DJg54wsd/xQ+SCbDtljGher6Ew==">CgMxLjA4AHIhMThaMWNhTUl6R3dwdEZRdWZFRFllTlc0WkE0REtMSm9o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2026-09-20T13:24:00Z</dcterms:created>
  <dc:creator>python-docx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9E1A2209DBC14B6EA9B5C0512B8C4824_13</vt:lpwstr>
  </property>
  <property fmtid="{D5CDD505-2E9C-101B-9397-08002B2CF9AE}" pid="4" name="KSOTemplateDocerSaveRecord">
    <vt:lpwstr>eyJoZGlkIjoiNWRiN2EzOTIwNTFkMWRjYjlhM2M2MjEwMTAzOTAyMTAiLCJ1c2VySWQiOiI1NTE1NDA5NjY1NzU4In0=</vt:lpwstr>
  </property>
</Properties>
</file>