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Calibri" w:cs="Calibri" w:eastAsia="Calibri" w:hAnsi="Calibri"/>
          <w:sz w:val="22"/>
          <w:szCs w:val="22"/>
        </w:rPr>
        <w:t xml:space="preserve">Nr.înreg. 10996/08.10.2026</w:t>
      </w:r>
    </w:p>
    <w:p>
      <w:pPr>
        <w:spacing w:after="160"/>
        <w:jc w:val="center"/>
      </w:pPr>
      <w:r>
        <w:rPr>
          <w:rFonts w:ascii="Calibri" w:cs="Calibri" w:eastAsia="Calibri" w:hAnsi="Calibri"/>
          <w:b/>
          <w:bCs/>
          <w:sz w:val="26"/>
          <w:szCs w:val="26"/>
        </w:rPr>
        <w:t xml:space="preserve">ANUNȚ</w:t>
      </w:r>
    </w:p>
    <w:p>
      <w:pPr>
        <w:spacing w:after="300"/>
        <w:jc w:val="center"/>
      </w:pPr>
      <w:r>
        <w:rPr>
          <w:rFonts w:ascii="Calibri" w:cs="Calibri" w:eastAsia="Calibri" w:hAnsi="Calibri"/>
          <w:b/>
          <w:bCs/>
          <w:sz w:val="26"/>
          <w:szCs w:val="26"/>
        </w:rPr>
        <w:t xml:space="preserve">CONCURS DE OCUPARE A FUNCȚIEI DE FARMACIST-ȘEF</w:t>
      </w:r>
    </w:p>
    <w:p>
      <w:pPr>
        <w:spacing w:after="60" w:line="264"/>
        <w:ind w:firstLine="720"/>
        <w:jc w:val="both"/>
      </w:pPr>
      <w:r>
        <w:rPr>
          <w:rFonts w:ascii="Times New Roman" w:cs="Times New Roman" w:eastAsia="Times New Roman" w:hAnsi="Times New Roman"/>
          <w:sz w:val="24"/>
          <w:szCs w:val="24"/>
        </w:rPr>
        <w:t xml:space="preserve">În conformitate cu prevederile Ordinului ministrului sănătății nr. 166 din 26 ianuarie 2023 pentru aprobarea metodologiilor privind organizarea și desfășurarea concursurilor de ocupare a posturilor vacante și temporar vacante de medic, medic stomatolog, farmacist, biolog, biochimist și chimist din unitățile sanitare publice sau din direcțiile de sănătate publică, precum și a funcțiilor de șef de secție, șef de laborator și șef de compartiment din unitățile sanitare fără paturi, respectiv a funcției de farmacist-șef în unitățile sanitare publice cu paturi, cu modificările și completările ulterioare, coroborat cu prevederile Hotărârii Guvernului nr. 1336/2022 pentru aprobarea Regulamentului-cadru privind organizarea și dezvoltarea carierei personalului contractual din sectorul bugetar plătit din fonduri publice, </w:t>
      </w:r>
      <w:r>
        <w:rPr>
          <w:rFonts w:ascii="Times New Roman" w:cs="Times New Roman" w:eastAsia="Times New Roman" w:hAnsi="Times New Roman"/>
          <w:b/>
          <w:bCs/>
          <w:sz w:val="24"/>
          <w:szCs w:val="24"/>
        </w:rPr>
        <w:t xml:space="preserve">Spitalul Municipal Odorheiu Secuiesc</w:t>
      </w:r>
      <w:r>
        <w:rPr>
          <w:rFonts w:ascii="Times New Roman" w:cs="Times New Roman" w:eastAsia="Times New Roman" w:hAnsi="Times New Roman"/>
          <w:sz w:val="24"/>
          <w:szCs w:val="24"/>
        </w:rPr>
        <w:t xml:space="preserve"> scoate la concurs funcția de:</w:t>
      </w:r>
    </w:p>
    <w:p>
      <w:pPr>
        <w:spacing w:after="0"/>
      </w:pPr>
      <w:r>
        <w:rPr>
          <w:rFonts w:ascii="Times New Roman" w:cs="Times New Roman" w:eastAsia="Times New Roman" w:hAnsi="Times New Roman"/>
          <w:sz w:val="24"/>
          <w:szCs w:val="24"/>
        </w:rPr>
        <w:t xml:space="preserve"/>
      </w:r>
    </w:p>
    <w:p>
      <w:pPr>
        <w:spacing w:after="60" w:line="264"/>
        <w:ind w:left="720"/>
        <w:jc w:val="both"/>
      </w:pPr>
      <w:r>
        <w:rPr>
          <w:rFonts w:ascii="Times New Roman" w:cs="Times New Roman" w:eastAsia="Times New Roman" w:hAnsi="Times New Roman"/>
          <w:sz w:val="24"/>
          <w:szCs w:val="24"/>
        </w:rPr>
        <w:t xml:space="preserve">Farmacist-șef – Farmacie cu circuit închis</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Condiții generale:</w:t>
      </w:r>
      <w:r>
        <w:rPr>
          <w:rFonts w:ascii="Times New Roman" w:cs="Times New Roman" w:eastAsia="Times New Roman" w:hAnsi="Times New Roman"/>
          <w:sz w:val="24"/>
          <w:szCs w:val="24"/>
        </w:rPr>
        <w:t xml:space="preserve"> candidații trebuie să îndeplinească condițiile generale prevăzute la art. 3 din Anexa nr. 1 la Ordinul M.S. nr. 166/2023 (cetățenie română sau a unui stat membru al U.E./S.E.E./Confederației Elvețiene, cunoașterea limbii române scris și vorbit, capacitate deplină de exercițiu, stare de sănătate corespunzătoare postului, condițiile de studii și vechime cerute, lipsa condamnărilor incompatibile cu exercitarea funcției etc.).</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Condiții (criterii) specifice:</w:t>
      </w:r>
    </w:p>
    <w:p>
      <w:pPr>
        <w:pStyle w:val="ListParagraph"/>
        <w:numPr>
          <w:ilvl w:val="0"/>
          <w:numId w:val="2"/>
        </w:numPr>
        <w:spacing w:after="60"/>
        <w:jc w:val="both"/>
      </w:pPr>
      <w:r>
        <w:rPr>
          <w:rFonts w:ascii="Times New Roman" w:cs="Times New Roman" w:eastAsia="Times New Roman" w:hAnsi="Times New Roman"/>
          <w:sz w:val="24"/>
          <w:szCs w:val="24"/>
        </w:rPr>
        <w:t xml:space="preserve">farmaciști specialiști/primari, cu minimum 2 ani de experiență profesională (art. 28 alin. (2) din Anexa nr. 1 la Ordinul M.S. nr. 166/2023);</w:t>
      </w:r>
    </w:p>
    <w:p>
      <w:pPr>
        <w:pStyle w:val="ListParagraph"/>
        <w:numPr>
          <w:ilvl w:val="0"/>
          <w:numId w:val="2"/>
        </w:numPr>
        <w:spacing w:after="60"/>
        <w:jc w:val="both"/>
      </w:pPr>
      <w:r>
        <w:rPr>
          <w:rFonts w:ascii="Times New Roman" w:cs="Times New Roman" w:eastAsia="Times New Roman" w:hAnsi="Times New Roman"/>
          <w:sz w:val="24"/>
          <w:szCs w:val="24"/>
        </w:rPr>
        <w:t xml:space="preserve">membru al Colegiului Farmaciștilor din România, cu aviz de liberă practică valabil pentru anul în curs;</w:t>
      </w:r>
    </w:p>
    <w:p>
      <w:pPr>
        <w:pStyle w:val="ListParagraph"/>
        <w:numPr>
          <w:ilvl w:val="0"/>
          <w:numId w:val="2"/>
        </w:numPr>
        <w:spacing w:after="60"/>
        <w:jc w:val="both"/>
      </w:pPr>
      <w:r>
        <w:rPr>
          <w:rFonts w:ascii="Times New Roman" w:cs="Times New Roman" w:eastAsia="Times New Roman" w:hAnsi="Times New Roman"/>
          <w:sz w:val="24"/>
          <w:szCs w:val="24"/>
        </w:rPr>
        <w:t xml:space="preserve">candidații pot participa la concurs și pot fi numiți până la împlinirea vârstei de pensionare prevăzute de lege.</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Dosarul de înscriere la concurs va cuprinde următoarele acte:</w:t>
      </w:r>
    </w:p>
    <w:p>
      <w:pPr>
        <w:spacing w:after="60" w:line="264"/>
        <w:jc w:val="both"/>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formularul de înscriere la concurs, conform modelului prevăzut în Anexa nr. 2 la H.G. nr. 1336/2022 (Formular de înscriere atașat);</w:t>
      </w:r>
    </w:p>
    <w:p>
      <w:pPr>
        <w:spacing w:after="60" w:line="264"/>
        <w:jc w:val="both"/>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copia diplomei de licență și a certificatului de farmacist specialist sau primar;</w:t>
      </w:r>
    </w:p>
    <w:p>
      <w:pPr>
        <w:spacing w:after="60" w:line="264"/>
        <w:jc w:val="both"/>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copia certificatului de membru al Colegiului Farmaciștilor din România, însoțit de avizul anual pentru anul în curs;</w:t>
      </w:r>
    </w:p>
    <w:p>
      <w:pPr>
        <w:spacing w:after="60" w:line="264"/>
        <w:jc w:val="both"/>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dovada/înscrisul din care să rezulte că nu i-a fost aplicată una dintre sancțiunile prevăzute la art. 455 alin. (1) lit. e) sau f), la art. 541 alin. (1) lit. d) sau e), respectiv la art. 628 alin. (1) lit. d) sau e) din Legea nr. 95/2006, republicată, cu modificările și completările ulterioare, sau cele de la art. 39 alin. (1) lit. c) sau d) din Legea nr. 460/2003, cu modificările și completările ulterioare;</w:t>
      </w:r>
    </w:p>
    <w:p>
      <w:pPr>
        <w:spacing w:after="60" w:line="264"/>
        <w:jc w:val="both"/>
      </w:pPr>
      <w:r>
        <w:rPr>
          <w:rFonts w:ascii="Times New Roman" w:cs="Times New Roman" w:eastAsia="Times New Roman" w:hAnsi="Times New Roman"/>
          <w:b/>
          <w:bCs/>
          <w:sz w:val="24"/>
          <w:szCs w:val="24"/>
        </w:rPr>
        <w:t xml:space="preserve">e)</w:t>
      </w:r>
      <w:r>
        <w:rPr>
          <w:rFonts w:ascii="Times New Roman" w:cs="Times New Roman" w:eastAsia="Times New Roman" w:hAnsi="Times New Roman"/>
          <w:sz w:val="24"/>
          <w:szCs w:val="24"/>
        </w:rPr>
        <w:t xml:space="preserve">acte doveditoare pentru calcularea punctajului prevăzut în Anexa nr. 3 la Ordinul M.S. nr. 166/2023;</w:t>
      </w:r>
    </w:p>
    <w:p>
      <w:pPr>
        <w:spacing w:after="60" w:line="264"/>
        <w:jc w:val="both"/>
      </w:pPr>
      <w:r>
        <w:rPr>
          <w:rFonts w:ascii="Times New Roman" w:cs="Times New Roman" w:eastAsia="Times New Roman" w:hAnsi="Times New Roman"/>
          <w:b/>
          <w:bCs/>
          <w:sz w:val="24"/>
          <w:szCs w:val="24"/>
        </w:rPr>
        <w:t xml:space="preserve">f)</w:t>
      </w:r>
      <w:r>
        <w:rPr>
          <w:rFonts w:ascii="Times New Roman" w:cs="Times New Roman" w:eastAsia="Times New Roman" w:hAnsi="Times New Roman"/>
          <w:sz w:val="24"/>
          <w:szCs w:val="24"/>
        </w:rPr>
        <w:t xml:space="preserve">certificat de cazier judiciar sau extrasul de pe cazierul judiciar;</w:t>
      </w:r>
    </w:p>
    <w:p>
      <w:pPr>
        <w:spacing w:after="60" w:line="264"/>
        <w:jc w:val="both"/>
      </w:pPr>
      <w:r>
        <w:rPr>
          <w:rFonts w:ascii="Times New Roman" w:cs="Times New Roman" w:eastAsia="Times New Roman" w:hAnsi="Times New Roman"/>
          <w:b/>
          <w:bCs/>
          <w:sz w:val="24"/>
          <w:szCs w:val="24"/>
        </w:rPr>
        <w:t xml:space="preserve">g)</w:t>
      </w:r>
      <w:r>
        <w:rPr>
          <w:rFonts w:ascii="Times New Roman" w:cs="Times New Roman" w:eastAsia="Times New Roman" w:hAnsi="Times New Roman"/>
          <w:sz w:val="24"/>
          <w:szCs w:val="24"/>
        </w:rPr>
        <w:t xml:space="preserve">certificatul de integritate comportamentală din care să reiasă că nu s-au comis infracțiuni prevăzute la art. 1 alin. (2) din Legea nr. 118/2019, cu modificările și completările ulterioare;</w:t>
      </w:r>
    </w:p>
    <w:p>
      <w:pPr>
        <w:spacing w:after="60" w:line="264"/>
        <w:jc w:val="both"/>
      </w:pPr>
      <w:r>
        <w:rPr>
          <w:rFonts w:ascii="Times New Roman" w:cs="Times New Roman" w:eastAsia="Times New Roman" w:hAnsi="Times New Roman"/>
          <w:b/>
          <w:bCs/>
          <w:sz w:val="24"/>
          <w:szCs w:val="24"/>
        </w:rPr>
        <w:t xml:space="preserve">h)</w:t>
      </w:r>
      <w:r>
        <w:rPr>
          <w:rFonts w:ascii="Times New Roman" w:cs="Times New Roman" w:eastAsia="Times New Roman" w:hAnsi="Times New Roman"/>
          <w:sz w:val="24"/>
          <w:szCs w:val="24"/>
        </w:rPr>
        <w:t xml:space="preserve">adeverință medicală care să ateste starea de sănătate corespunzătoare, eliberată de către medicul de familie al candidatului sau de către unitățile sanitare abilitate cu cel mult 6 luni anterior derulării concursului;</w:t>
      </w:r>
    </w:p>
    <w:p>
      <w:pPr>
        <w:spacing w:after="60" w:line="264"/>
        <w:jc w:val="both"/>
      </w:pPr>
      <w:r>
        <w:rPr>
          <w:rFonts w:ascii="Times New Roman" w:cs="Times New Roman" w:eastAsia="Times New Roman" w:hAnsi="Times New Roman"/>
          <w:b/>
          <w:bCs/>
          <w:sz w:val="24"/>
          <w:szCs w:val="24"/>
        </w:rPr>
        <w:t xml:space="preserve">i)</w:t>
      </w:r>
      <w:r>
        <w:rPr>
          <w:rFonts w:ascii="Times New Roman" w:cs="Times New Roman" w:eastAsia="Times New Roman" w:hAnsi="Times New Roman"/>
          <w:sz w:val="24"/>
          <w:szCs w:val="24"/>
        </w:rPr>
        <w:t xml:space="preserve">copia actului de identitate sau a oricărui alt document care atestă identitatea, potrivit legii, aflate în termen de valabilitate;</w:t>
      </w:r>
    </w:p>
    <w:p>
      <w:pPr>
        <w:spacing w:after="60" w:line="264"/>
        <w:jc w:val="both"/>
      </w:pPr>
      <w:r>
        <w:rPr>
          <w:rFonts w:ascii="Times New Roman" w:cs="Times New Roman" w:eastAsia="Times New Roman" w:hAnsi="Times New Roman"/>
          <w:b/>
          <w:bCs/>
          <w:sz w:val="24"/>
          <w:szCs w:val="24"/>
        </w:rPr>
        <w:t xml:space="preserve">j)</w:t>
      </w:r>
      <w:r>
        <w:rPr>
          <w:rFonts w:ascii="Times New Roman" w:cs="Times New Roman" w:eastAsia="Times New Roman" w:hAnsi="Times New Roman"/>
          <w:sz w:val="24"/>
          <w:szCs w:val="24"/>
        </w:rPr>
        <w:t xml:space="preserve">curriculum vitae, model comun european;</w:t>
      </w:r>
    </w:p>
    <w:p>
      <w:pPr>
        <w:spacing w:after="60" w:line="264"/>
        <w:jc w:val="both"/>
      </w:pPr>
      <w:r>
        <w:rPr>
          <w:rFonts w:ascii="Times New Roman" w:cs="Times New Roman" w:eastAsia="Times New Roman" w:hAnsi="Times New Roman"/>
          <w:b/>
          <w:bCs/>
          <w:sz w:val="24"/>
          <w:szCs w:val="24"/>
        </w:rPr>
        <w:t xml:space="preserve">k)</w:t>
      </w:r>
      <w:r>
        <w:rPr>
          <w:rFonts w:ascii="Times New Roman" w:cs="Times New Roman" w:eastAsia="Times New Roman" w:hAnsi="Times New Roman"/>
          <w:sz w:val="24"/>
          <w:szCs w:val="24"/>
        </w:rPr>
        <w:t xml:space="preserve">copia certificatului de căsătorie sau a altui document prin care s-a realizat schimbarea de nume, după caz;</w:t>
      </w:r>
    </w:p>
    <w:p>
      <w:pPr>
        <w:spacing w:after="60" w:line="264"/>
        <w:jc w:val="both"/>
      </w:pPr>
      <w:r>
        <w:rPr>
          <w:rFonts w:ascii="Times New Roman" w:cs="Times New Roman" w:eastAsia="Times New Roman" w:hAnsi="Times New Roman"/>
          <w:b/>
          <w:bCs/>
          <w:sz w:val="24"/>
          <w:szCs w:val="24"/>
        </w:rPr>
        <w:t xml:space="preserve">l)</w:t>
      </w:r>
      <w:r>
        <w:rPr>
          <w:rFonts w:ascii="Times New Roman" w:cs="Times New Roman" w:eastAsia="Times New Roman" w:hAnsi="Times New Roman"/>
          <w:sz w:val="24"/>
          <w:szCs w:val="24"/>
        </w:rPr>
        <w:t xml:space="preserve">copia carnetului de muncă sau adeverință eliberată de angajator, care să ateste vechimea în muncă și experiența profesională;</w:t>
      </w:r>
    </w:p>
    <w:p>
      <w:pPr>
        <w:spacing w:after="60" w:line="264"/>
        <w:jc w:val="both"/>
      </w:pPr>
      <w:r>
        <w:rPr>
          <w:rFonts w:ascii="Times New Roman" w:cs="Times New Roman" w:eastAsia="Times New Roman" w:hAnsi="Times New Roman"/>
          <w:b/>
          <w:bCs/>
          <w:sz w:val="24"/>
          <w:szCs w:val="24"/>
        </w:rPr>
        <w:t xml:space="preserve">m)</w:t>
      </w:r>
      <w:r>
        <w:rPr>
          <w:rFonts w:ascii="Times New Roman" w:cs="Times New Roman" w:eastAsia="Times New Roman" w:hAnsi="Times New Roman"/>
          <w:sz w:val="24"/>
          <w:szCs w:val="24"/>
        </w:rPr>
        <w:t xml:space="preserve">dovada absolvirii unor cursuri de perfecționare în management sanitar sau, după caz, declarație pe propria răspundere că va face dovada absolvirii acestora în termen de 2 ani de la data încadrării.</w:t>
      </w:r>
    </w:p>
    <w:p>
      <w:pPr>
        <w:spacing w:after="60" w:line="264"/>
        <w:jc w:val="both"/>
      </w:pPr>
      <w:r>
        <w:rPr>
          <w:rFonts w:ascii="Times New Roman" w:cs="Times New Roman" w:eastAsia="Times New Roman" w:hAnsi="Times New Roman"/>
          <w:sz w:val="24"/>
          <w:szCs w:val="24"/>
        </w:rPr>
        <w:t xml:space="preserve">Documentele prevăzute la lit. d) și f) sunt valabile 3 luni și se depun la dosar în termen de valabilitate.</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Copiile actelor din dosarul de concurs vor fi prezentate însoțite de originalele acestora, pentru verificarea conformității.</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Concursul va consta în următoarele probe:</w:t>
      </w:r>
    </w:p>
    <w:p>
      <w:pPr>
        <w:pStyle w:val="ListParagraph"/>
        <w:numPr>
          <w:ilvl w:val="0"/>
          <w:numId w:val="3"/>
        </w:numPr>
        <w:spacing w:after="40"/>
        <w:jc w:val="both"/>
      </w:pPr>
      <w:r>
        <w:rPr>
          <w:rFonts w:ascii="Times New Roman" w:cs="Times New Roman" w:eastAsia="Times New Roman" w:hAnsi="Times New Roman"/>
          <w:sz w:val="24"/>
          <w:szCs w:val="24"/>
        </w:rPr>
        <w:t xml:space="preserve">selecția dosarelor de înscriere;</w:t>
      </w:r>
    </w:p>
    <w:p>
      <w:pPr>
        <w:pStyle w:val="ListParagraph"/>
        <w:numPr>
          <w:ilvl w:val="0"/>
          <w:numId w:val="3"/>
        </w:numPr>
        <w:spacing w:after="40"/>
        <w:jc w:val="both"/>
      </w:pPr>
      <w:r>
        <w:rPr>
          <w:rFonts w:ascii="Times New Roman" w:cs="Times New Roman" w:eastAsia="Times New Roman" w:hAnsi="Times New Roman"/>
          <w:sz w:val="24"/>
          <w:szCs w:val="24"/>
        </w:rPr>
        <w:t xml:space="preserve">probă scrisă (durata 3 ore);</w:t>
      </w:r>
    </w:p>
    <w:p>
      <w:pPr>
        <w:pStyle w:val="ListParagraph"/>
        <w:numPr>
          <w:ilvl w:val="0"/>
          <w:numId w:val="3"/>
        </w:numPr>
        <w:spacing w:after="40"/>
        <w:jc w:val="both"/>
      </w:pPr>
      <w:r>
        <w:rPr>
          <w:rFonts w:ascii="Times New Roman" w:cs="Times New Roman" w:eastAsia="Times New Roman" w:hAnsi="Times New Roman"/>
          <w:sz w:val="24"/>
          <w:szCs w:val="24"/>
        </w:rPr>
        <w:t xml:space="preserve">probă practică;</w:t>
      </w:r>
    </w:p>
    <w:p>
      <w:pPr>
        <w:pStyle w:val="ListParagraph"/>
        <w:numPr>
          <w:ilvl w:val="0"/>
          <w:numId w:val="3"/>
        </w:numPr>
        <w:spacing w:after="40"/>
        <w:jc w:val="both"/>
      </w:pPr>
      <w:r>
        <w:rPr>
          <w:rFonts w:ascii="Times New Roman" w:cs="Times New Roman" w:eastAsia="Times New Roman" w:hAnsi="Times New Roman"/>
          <w:sz w:val="24"/>
          <w:szCs w:val="24"/>
        </w:rPr>
        <w:t xml:space="preserve">proba D – punctajul rezultat din analiza activității profesionale și științifice (Anexa nr. 3 la Ordinul M.S. nr. 166/2023), utilizată pentru departajare.</w:t>
      </w:r>
    </w:p>
    <w:p>
      <w:pPr>
        <w:spacing w:after="0"/>
      </w:pPr>
      <w:r>
        <w:rPr>
          <w:rFonts w:ascii="Times New Roman" w:cs="Times New Roman" w:eastAsia="Times New Roman" w:hAnsi="Times New Roman"/>
          <w:sz w:val="24"/>
          <w:szCs w:val="24"/>
        </w:rPr>
        <w:t xml:space="preserve"/>
      </w:r>
    </w:p>
    <w:p>
      <w:pPr>
        <w:spacing w:after="60" w:line="264"/>
        <w:ind w:firstLine="720"/>
        <w:jc w:val="both"/>
      </w:pPr>
      <w:r>
        <w:rPr>
          <w:rFonts w:ascii="Times New Roman" w:cs="Times New Roman" w:eastAsia="Times New Roman" w:hAnsi="Times New Roman"/>
          <w:sz w:val="24"/>
          <w:szCs w:val="24"/>
        </w:rPr>
        <w:t xml:space="preserve">Sunt declarați admiși candidații care au obținut minimum 70 de puncte la proba scrisă și minimum 70 de puncte la proba practică. Punctajul final se calculează ca medie aritmetică a punctajelor obținute la proba scrisă și la proba practică.</w:t>
      </w:r>
    </w:p>
    <w:p>
      <w:pPr>
        <w:spacing w:after="60" w:line="264"/>
        <w:ind w:firstLine="720"/>
        <w:jc w:val="both"/>
      </w:pPr>
      <w:r>
        <w:rPr>
          <w:rFonts w:ascii="Times New Roman" w:cs="Times New Roman" w:eastAsia="Times New Roman" w:hAnsi="Times New Roman"/>
          <w:sz w:val="24"/>
          <w:szCs w:val="24"/>
        </w:rPr>
        <w:t xml:space="preserve">Proba scrisă se susține pe baza tematicii și bibliografiei aprobate, care vor fi afișate la sediul spitalului și pe pagina de internet www.spitalodorhei.ro; unul dintre subiecte se stabilește obligatoriu din Legea nr. 95/2006 privind reforma în domeniul sănătății, republicată, cu modificările și completările ulterioare.</w:t>
      </w:r>
    </w:p>
    <w:p>
      <w:pPr>
        <w:spacing w:after="60" w:line="264"/>
        <w:ind w:firstLine="720"/>
        <w:jc w:val="both"/>
      </w:pPr>
      <w:r>
        <w:rPr>
          <w:rFonts w:ascii="Times New Roman" w:cs="Times New Roman" w:eastAsia="Times New Roman" w:hAnsi="Times New Roman"/>
          <w:sz w:val="24"/>
          <w:szCs w:val="24"/>
        </w:rPr>
        <w:t xml:space="preserve">Contestațiile se depun la sediul spitalului, în termen de o zi lucrătoare de la data afișării rezultatelor fiecărei etape.</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sz w:val="24"/>
          <w:szCs w:val="24"/>
        </w:rPr>
        <w:t xml:space="preserve">Înscrierile la concurs se fac la sediul Spitalului Municipal Odorheiu Secuiesc, situat în strada Bethlen Gábor, nr. 72, Odorheiu Secuiesc, la Serv. RUNOS-IT, în termen de 10 zile lucrătoare de la data afișării anunțului.</w:t>
      </w:r>
    </w:p>
    <w:p>
      <w:pPr>
        <w:spacing w:after="60" w:line="264"/>
        <w:jc w:val="both"/>
      </w:pPr>
      <w:r>
        <w:rPr>
          <w:rFonts w:ascii="Times New Roman" w:cs="Times New Roman" w:eastAsia="Times New Roman" w:hAnsi="Times New Roman"/>
          <w:sz w:val="24"/>
          <w:szCs w:val="24"/>
        </w:rPr>
        <w:t xml:space="preserve">Informații suplimentare se pot obține pe www.spitalodorhei.ro și la telefon: 0266-212186, int. 119.</w:t>
      </w:r>
    </w:p>
    <w:p>
      <w:pPr>
        <w:pageBreakBefore/>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ANEXĂ</w:t>
      </w:r>
    </w:p>
    <w:p>
      <w:pPr>
        <w:spacing w:after="0"/>
      </w:pPr>
      <w:r>
        <w:rPr>
          <w:rFonts w:ascii="Times New Roman" w:cs="Times New Roman" w:eastAsia="Times New Roman" w:hAnsi="Times New Roman"/>
          <w:sz w:val="24"/>
          <w:szCs w:val="24"/>
        </w:rPr>
        <w:t xml:space="preserve"/>
      </w:r>
    </w:p>
    <w:p>
      <w:pPr>
        <w:spacing w:after="60" w:line="264"/>
        <w:jc w:val="both"/>
      </w:pPr>
      <w:r>
        <w:rPr>
          <w:rFonts w:ascii="Times New Roman" w:cs="Times New Roman" w:eastAsia="Times New Roman" w:hAnsi="Times New Roman"/>
          <w:b/>
          <w:bCs/>
          <w:sz w:val="24"/>
          <w:szCs w:val="24"/>
        </w:rPr>
        <w:t xml:space="preserve">Concursul se va organiza conform CALENDARULUI următor la sediul Spitalului:</w:t>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00"/>
        <w:gridCol w:w="3060"/>
      </w:tblGrid>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Publicarea anunțului (sediul unității, www.spitalodorhei.ro, site-ul M.S., posturi.gov.ro)</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12.10.2026</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Termen limită de depunere a dosarelor de către candidați</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23.10.2026,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Selecția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27.10.2026, ora 09.00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Afișare rezultatul selecției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27.10.2026,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Termen depunere contestații privind selecția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28.10.2026,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Răspuns la soluționarea contestațiilor privind selecția dosarelor</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29.10.2026, ora 15.00</w:t>
            </w:r>
          </w:p>
        </w:tc>
      </w:tr>
    </w:tbl>
    <w:p>
      <w:pPr>
        <w:spacing w:after="0"/>
      </w:pPr>
      <w:r>
        <w:rPr>
          <w:rFonts w:ascii="Times New Roman" w:cs="Times New Roman" w:eastAsia="Times New Roman" w:hAnsi="Times New Roman"/>
          <w:sz w:val="24"/>
          <w:szCs w:val="24"/>
        </w:rPr>
        <w:t xml:space="preserve"/>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00"/>
        <w:gridCol w:w="3060"/>
      </w:tblGrid>
      <w:tr>
        <w:tc>
          <w:tcPr>
            <w:tcW w:type="dxa" w:w="9360"/>
            <w:gridSpan w:val="2"/>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jc w:val="center"/>
            </w:pPr>
            <w:r>
              <w:rPr>
                <w:rFonts w:ascii="Calibri" w:cs="Calibri" w:eastAsia="Calibri" w:hAnsi="Calibri"/>
                <w:b/>
                <w:bCs/>
                <w:sz w:val="22"/>
                <w:szCs w:val="22"/>
              </w:rPr>
              <w:t xml:space="preserve">Desfășurarea probelor de concurs</w:t>
            </w:r>
          </w:p>
          <w:p>
            <w:pPr>
              <w:spacing w:after="0"/>
              <w:jc w:val="center"/>
            </w:pPr>
            <w:r>
              <w:rPr>
                <w:rFonts w:ascii="Calibri" w:cs="Calibri" w:eastAsia="Calibri" w:hAnsi="Calibri"/>
                <w:b/>
                <w:bCs/>
                <w:sz w:val="22"/>
                <w:szCs w:val="22"/>
              </w:rPr>
              <w:t xml:space="preserve">I.   Farmacist-șef – Farmacie cu circuit închis</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pStyle w:val="ListParagraph"/>
              <w:numPr>
                <w:ilvl w:val="0"/>
                <w:numId w:val="4"/>
              </w:numPr>
              <w:spacing w:after="0"/>
            </w:pPr>
            <w:r>
              <w:rPr>
                <w:rFonts w:ascii="Calibri" w:cs="Calibri" w:eastAsia="Calibri" w:hAnsi="Calibri"/>
                <w:b/>
                <w:bCs/>
                <w:sz w:val="22"/>
                <w:szCs w:val="22"/>
              </w:rPr>
              <w:t xml:space="preserve">Proba scrisă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09.11.2026, ora 09.00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Afișare rezultate proba scrisă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10.11.2026,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Depunerea contestațiilor privind proba scrisă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11.11.2026,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Rezultatul soluționării contestațiilor privind proba scrisă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12.11.2026,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Proba practică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13.11.2026, ora 10.00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Afișare rezultate proba practică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13.11.2026,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Depunerea contestațiilor privind proba practică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16.11.2026,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val="false"/>
                <w:bCs w:val="false"/>
                <w:sz w:val="22"/>
                <w:szCs w:val="22"/>
              </w:rPr>
              <w:t xml:space="preserve">Rezultatul soluționării contestațiilor privind proba practică</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17.11.2026, ora 15.00</w:t>
            </w:r>
          </w:p>
        </w:tc>
      </w:tr>
      <w:tr>
        <w:tc>
          <w:tcPr>
            <w:tcW w:type="dxa" w:w="630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Comunicare rezultat final</w:t>
            </w:r>
          </w:p>
        </w:tc>
        <w:tc>
          <w:tcPr>
            <w:tcW w:type="dxa" w:w="3060"/>
            <w:tcBorders>
              <w:top w:val="single" w:color="000000" w:sz="4"/>
              <w:left w:val="single" w:color="000000" w:sz="4"/>
              <w:bottom w:val="single" w:color="000000" w:sz="4"/>
              <w:right w:val="single" w:color="000000" w:sz="4"/>
            </w:tcBorders>
            <w:tcMar>
              <w:top w:type="dxa" w:w="40"/>
              <w:left w:type="dxa" w:w="100"/>
              <w:bottom w:type="dxa" w:w="40"/>
              <w:right w:type="dxa" w:w="100"/>
            </w:tcMar>
          </w:tcPr>
          <w:p>
            <w:pPr>
              <w:spacing w:after="0"/>
            </w:pPr>
            <w:r>
              <w:rPr>
                <w:rFonts w:ascii="Calibri" w:cs="Calibri" w:eastAsia="Calibri" w:hAnsi="Calibri"/>
                <w:b/>
                <w:bCs/>
                <w:sz w:val="22"/>
                <w:szCs w:val="22"/>
              </w:rPr>
              <w:t xml:space="preserve">18.11.2026, ora 15.00</w:t>
            </w:r>
          </w:p>
        </w:tc>
      </w:tr>
    </w:tbl>
    <w:p>
      <w:pPr>
        <w:spacing w:after="0"/>
      </w:pPr>
      <w:r>
        <w:rPr>
          <w:rFonts w:ascii="Times New Roman" w:cs="Times New Roman" w:eastAsia="Times New Roman" w:hAnsi="Times New Roman"/>
          <w:sz w:val="24"/>
          <w:szCs w:val="24"/>
        </w:rPr>
        <w:t xml:space="preserve"/>
      </w:r>
    </w:p>
    <w:p>
      <w:pPr>
        <w:spacing w:after="0"/>
      </w:pPr>
      <w:r>
        <w:rPr>
          <w:rFonts w:ascii="Times New Roman" w:cs="Times New Roman" w:eastAsia="Times New Roman" w:hAnsi="Times New Roman"/>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val="false"/>
                <w:bCs w:val="false"/>
                <w:sz w:val="24"/>
                <w:szCs w:val="24"/>
              </w:rPr>
              <w:t xml:space="preserve"/>
            </w:r>
          </w:p>
        </w:tc>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Întocmit de Șef serviciu RUNOS-IT,</w:t>
            </w:r>
          </w:p>
          <w:p>
            <w:pPr>
              <w:spacing w:after="0"/>
            </w:pPr>
            <w:r>
              <w:rPr>
                <w:rFonts w:ascii="Times New Roman" w:cs="Times New Roman" w:eastAsia="Times New Roman" w:hAnsi="Times New Roman"/>
                <w:b/>
                <w:bCs/>
                <w:sz w:val="24"/>
                <w:szCs w:val="24"/>
              </w:rPr>
              <w:t xml:space="preserve">Lukács Zoltán</w:t>
            </w:r>
          </w:p>
          <w:p>
            <w:pPr>
              <w:spacing w:after="0"/>
            </w:pPr>
            <w:r>
              <w:rPr>
                <w:rFonts w:ascii="Times New Roman" w:cs="Times New Roman" w:eastAsia="Times New Roman" w:hAnsi="Times New Roman"/>
                <w:b w:val="false"/>
                <w:bCs w:val="false"/>
                <w:sz w:val="24"/>
                <w:szCs w:val="24"/>
              </w:rPr>
              <w:t xml:space="preserve"/>
            </w:r>
          </w:p>
          <w:p>
            <w:pPr>
              <w:spacing w:after="0"/>
            </w:pPr>
            <w:r>
              <w:rPr>
                <w:rFonts w:ascii="Times New Roman" w:cs="Times New Roman" w:eastAsia="Times New Roman" w:hAnsi="Times New Roman"/>
                <w:b w:val="false"/>
                <w:bCs w:val="false"/>
                <w:sz w:val="24"/>
                <w:szCs w:val="24"/>
              </w:rPr>
              <w:t xml:space="preserve"/>
            </w:r>
          </w:p>
        </w:tc>
      </w:tr>
      <w:tr>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Manager,</w:t>
            </w:r>
          </w:p>
          <w:p>
            <w:pPr>
              <w:spacing w:after="0"/>
            </w:pPr>
            <w:r>
              <w:rPr>
                <w:rFonts w:ascii="Times New Roman" w:cs="Times New Roman" w:eastAsia="Times New Roman" w:hAnsi="Times New Roman"/>
                <w:b/>
                <w:bCs/>
                <w:sz w:val="24"/>
                <w:szCs w:val="24"/>
              </w:rPr>
              <w:t xml:space="preserve">Komoróczy Zsolt</w:t>
            </w:r>
          </w:p>
        </w:tc>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Director Medical,</w:t>
            </w:r>
          </w:p>
          <w:p>
            <w:pPr>
              <w:spacing w:after="0"/>
            </w:pPr>
            <w:r>
              <w:rPr>
                <w:rFonts w:ascii="Times New Roman" w:cs="Times New Roman" w:eastAsia="Times New Roman" w:hAnsi="Times New Roman"/>
                <w:b/>
                <w:bCs/>
                <w:sz w:val="24"/>
                <w:szCs w:val="24"/>
              </w:rPr>
              <w:t xml:space="preserve">Dr. Lőrincz Gabriella</w:t>
            </w:r>
          </w:p>
        </w:tc>
      </w:tr>
    </w:tbl>
    <w:p>
      <w:r>
        <w:br w:type="page"/>
      </w:r>
    </w:p>
    <w:p>
      <w:pPr>
        <w:spacing w:before="0" w:after="0" w:line="264"/>
        <w:ind w:left="5400"/>
        <w:jc w:val="left"/>
      </w:pPr>
      <w:r>
        <w:rPr>
          <w:rFonts w:ascii="Times New Roman" w:cs="Times New Roman" w:eastAsia="Times New Roman" w:hAnsi="Times New Roman"/>
          <w:b/>
          <w:bCs/>
          <w:sz w:val="24"/>
          <w:szCs w:val="24"/>
        </w:rPr>
        <w:t xml:space="preserve">APROBAT,</w:t>
      </w:r>
    </w:p>
    <w:p>
      <w:pPr>
        <w:spacing w:before="0" w:after="0" w:line="264"/>
        <w:ind w:left="5400"/>
        <w:jc w:val="left"/>
      </w:pPr>
      <w:r>
        <w:rPr>
          <w:rFonts w:ascii="Times New Roman" w:cs="Times New Roman" w:eastAsia="Times New Roman" w:hAnsi="Times New Roman"/>
          <w:b/>
          <w:bCs/>
          <w:sz w:val="24"/>
          <w:szCs w:val="24"/>
        </w:rPr>
        <w:t xml:space="preserve">Manager,</w:t>
      </w:r>
    </w:p>
    <w:p>
      <w:pPr>
        <w:spacing w:before="0" w:after="0" w:line="264"/>
        <w:ind w:left="5400"/>
        <w:jc w:val="left"/>
      </w:pPr>
      <w:r>
        <w:rPr>
          <w:rFonts w:ascii="Times New Roman" w:cs="Times New Roman" w:eastAsia="Times New Roman" w:hAnsi="Times New Roman"/>
          <w:b/>
          <w:bCs/>
          <w:sz w:val="24"/>
          <w:szCs w:val="24"/>
        </w:rPr>
        <w:t xml:space="preserve">Komoróczy Zsolt</w:t>
      </w:r>
    </w:p>
    <w:p>
      <w:pPr>
        <w:spacing w:before="360" w:after="60" w:line="264"/>
        <w:jc w:val="center"/>
      </w:pPr>
      <w:r>
        <w:rPr>
          <w:rFonts w:ascii="Times New Roman" w:cs="Times New Roman" w:eastAsia="Times New Roman" w:hAnsi="Times New Roman"/>
          <w:b/>
          <w:bCs/>
          <w:sz w:val="24"/>
          <w:szCs w:val="24"/>
        </w:rPr>
        <w:t xml:space="preserve">TEMATICA ȘI BIBLIOGRAFIA</w:t>
      </w:r>
    </w:p>
    <w:p>
      <w:pPr>
        <w:spacing w:before="0" w:after="0" w:line="264"/>
        <w:jc w:val="center"/>
      </w:pPr>
      <w:r>
        <w:rPr>
          <w:rFonts w:ascii="Times New Roman" w:cs="Times New Roman" w:eastAsia="Times New Roman" w:hAnsi="Times New Roman"/>
          <w:b/>
          <w:bCs/>
          <w:sz w:val="24"/>
          <w:szCs w:val="24"/>
        </w:rPr>
        <w:t xml:space="preserve">pentru concursul de ocupare a funcției de</w:t>
      </w:r>
    </w:p>
    <w:p>
      <w:pPr>
        <w:spacing w:before="0" w:after="0" w:line="264"/>
        <w:jc w:val="center"/>
      </w:pPr>
      <w:r>
        <w:rPr>
          <w:rFonts w:ascii="Times New Roman" w:cs="Times New Roman" w:eastAsia="Times New Roman" w:hAnsi="Times New Roman"/>
          <w:b/>
          <w:bCs/>
          <w:sz w:val="24"/>
          <w:szCs w:val="24"/>
        </w:rPr>
        <w:t xml:space="preserve">FARMACIST-ȘEF – Farmacie cu circuit închis</w:t>
      </w:r>
    </w:p>
    <w:p>
      <w:pPr>
        <w:spacing w:before="0" w:after="240" w:line="264"/>
        <w:jc w:val="center"/>
      </w:pPr>
      <w:r>
        <w:rPr>
          <w:rFonts w:ascii="Times New Roman" w:cs="Times New Roman" w:eastAsia="Times New Roman" w:hAnsi="Times New Roman"/>
          <w:i/>
          <w:iCs/>
          <w:sz w:val="24"/>
          <w:szCs w:val="24"/>
        </w:rPr>
        <w:t xml:space="preserve">(anexă la anunțul de concurs nr. 10996/08.10.2026)</w:t>
      </w:r>
    </w:p>
    <w:p>
      <w:pPr>
        <w:spacing w:before="0" w:after="60" w:line="264"/>
        <w:ind w:firstLine="720"/>
        <w:jc w:val="both"/>
      </w:pPr>
      <w:r>
        <w:rPr>
          <w:rFonts w:ascii="Times New Roman" w:cs="Times New Roman" w:eastAsia="Times New Roman" w:hAnsi="Times New Roman"/>
          <w:sz w:val="24"/>
          <w:szCs w:val="24"/>
        </w:rPr>
        <w:t xml:space="preserve">Tematica și bibliografia sunt stabilite în conformitate cu prevederile art. 5 alin. (3) și (4) din Anexa nr. 1 la Ordinul ministrului sănătății nr. 166/2023. Proba scrisă constă în tratarea a 10 subiecte, cu durata de 3 ore; unul dintre subiecte este obligatoriu din Legea nr. 95/2006 privind reforma în domeniul sănătății, republicată, cu modificările și completările ulterioare.</w:t>
      </w:r>
    </w:p>
    <w:p>
      <w:pPr>
        <w:keepNext/>
        <w:spacing w:before="200" w:after="60" w:line="264"/>
        <w:jc w:val="left"/>
      </w:pPr>
      <w:r>
        <w:rPr>
          <w:rFonts w:ascii="Times New Roman" w:cs="Times New Roman" w:eastAsia="Times New Roman" w:hAnsi="Times New Roman"/>
          <w:b/>
          <w:bCs/>
          <w:sz w:val="24"/>
          <w:szCs w:val="24"/>
        </w:rPr>
        <w:t xml:space="preserve">I. TEMATICA PENTRU PROBA SCRISĂ</w:t>
      </w:r>
    </w:p>
    <w:p>
      <w:pPr>
        <w:keepNext/>
        <w:spacing w:before="60" w:after="60" w:line="264"/>
        <w:jc w:val="left"/>
      </w:pPr>
      <w:r>
        <w:rPr>
          <w:rFonts w:ascii="Times New Roman" w:cs="Times New Roman" w:eastAsia="Times New Roman" w:hAnsi="Times New Roman"/>
          <w:b/>
          <w:bCs/>
          <w:i/>
          <w:iCs/>
          <w:sz w:val="24"/>
          <w:szCs w:val="24"/>
        </w:rPr>
        <w:t xml:space="preserve">A. Legislație, organizare și management farmaceutic</w:t>
      </w:r>
    </w:p>
    <w:p>
      <w:pPr>
        <w:pStyle w:val="ListParagraph"/>
        <w:numPr>
          <w:ilvl w:val="0"/>
          <w:numId w:val="5"/>
        </w:numPr>
        <w:spacing w:after="60" w:line="264"/>
        <w:jc w:val="both"/>
      </w:pPr>
      <w:r>
        <w:rPr>
          <w:rFonts w:ascii="Times New Roman" w:cs="Times New Roman" w:eastAsia="Times New Roman" w:hAnsi="Times New Roman"/>
          <w:sz w:val="24"/>
          <w:szCs w:val="24"/>
        </w:rPr>
        <w:t xml:space="preserve">Legea nr. 95/2006 privind reforma în domeniul sănătății – Titlul VII „Spitalele”: organizarea, funcționarea și conducerea spitalului; structura organizatorică; comitetul director, consiliul medical; secții, laboratoare, servicii; contractul de administrare; finanțarea spitalelor (subiect obligatoriu).</w:t>
      </w:r>
    </w:p>
    <w:p>
      <w:pPr>
        <w:pStyle w:val="ListParagraph"/>
        <w:numPr>
          <w:ilvl w:val="0"/>
          <w:numId w:val="5"/>
        </w:numPr>
        <w:spacing w:after="60" w:line="264"/>
        <w:jc w:val="both"/>
      </w:pPr>
      <w:r>
        <w:rPr>
          <w:rFonts w:ascii="Times New Roman" w:cs="Times New Roman" w:eastAsia="Times New Roman" w:hAnsi="Times New Roman"/>
          <w:sz w:val="24"/>
          <w:szCs w:val="24"/>
        </w:rPr>
        <w:t xml:space="preserve">Legea nr. 95/2006 – Titlul XIV „Exercitarea profesiei de farmacist. Organizarea și funcționarea Colegiului Farmaciștilor din România”: exercitarea profesiei, drepturi și obligații, răspunderea disciplinară.</w:t>
      </w:r>
    </w:p>
    <w:p>
      <w:pPr>
        <w:pStyle w:val="ListParagraph"/>
        <w:numPr>
          <w:ilvl w:val="0"/>
          <w:numId w:val="5"/>
        </w:numPr>
        <w:spacing w:after="60" w:line="264"/>
        <w:jc w:val="both"/>
      </w:pPr>
      <w:r>
        <w:rPr>
          <w:rFonts w:ascii="Times New Roman" w:cs="Times New Roman" w:eastAsia="Times New Roman" w:hAnsi="Times New Roman"/>
          <w:sz w:val="24"/>
          <w:szCs w:val="24"/>
        </w:rPr>
        <w:t xml:space="preserve">Legea nr. 95/2006 – Titlul XVIII „Medicamentul”: definiții, autorizarea de punere pe piață, clasificarea medicamentelor pentru eliberare, farmacovigilența, raportarea reacțiilor adverse.</w:t>
      </w:r>
    </w:p>
    <w:p>
      <w:pPr>
        <w:pStyle w:val="ListParagraph"/>
        <w:numPr>
          <w:ilvl w:val="0"/>
          <w:numId w:val="5"/>
        </w:numPr>
        <w:spacing w:after="60" w:line="264"/>
        <w:jc w:val="both"/>
      </w:pPr>
      <w:r>
        <w:rPr>
          <w:rFonts w:ascii="Times New Roman" w:cs="Times New Roman" w:eastAsia="Times New Roman" w:hAnsi="Times New Roman"/>
          <w:sz w:val="24"/>
          <w:szCs w:val="24"/>
        </w:rPr>
        <w:t xml:space="preserve">Legea farmaciei nr. 266/2008: farmacia cu circuit închis – înființare, organizare, funcționare; personalul farmaciei; atribuțiile farmacistului-șef.</w:t>
      </w:r>
    </w:p>
    <w:p>
      <w:pPr>
        <w:pStyle w:val="ListParagraph"/>
        <w:numPr>
          <w:ilvl w:val="0"/>
          <w:numId w:val="5"/>
        </w:numPr>
        <w:spacing w:after="60" w:line="264"/>
        <w:jc w:val="both"/>
      </w:pPr>
      <w:r>
        <w:rPr>
          <w:rFonts w:ascii="Times New Roman" w:cs="Times New Roman" w:eastAsia="Times New Roman" w:hAnsi="Times New Roman"/>
          <w:sz w:val="24"/>
          <w:szCs w:val="24"/>
        </w:rPr>
        <w:t xml:space="preserve">Normele privind înființarea, organizarea și funcționarea unităților farmaceutice (Ordinul M.S. nr. 444/2019): spațiul, dotarea, documentele, circuitul medicamentului în farmacia cu circuit închis.</w:t>
      </w:r>
    </w:p>
    <w:p>
      <w:pPr>
        <w:pStyle w:val="ListParagraph"/>
        <w:numPr>
          <w:ilvl w:val="0"/>
          <w:numId w:val="5"/>
        </w:numPr>
        <w:spacing w:after="60" w:line="264"/>
        <w:jc w:val="both"/>
      </w:pPr>
      <w:r>
        <w:rPr>
          <w:rFonts w:ascii="Times New Roman" w:cs="Times New Roman" w:eastAsia="Times New Roman" w:hAnsi="Times New Roman"/>
          <w:sz w:val="24"/>
          <w:szCs w:val="24"/>
        </w:rPr>
        <w:t xml:space="preserve">Regulile de bună practică farmaceutică (Ordinul M.S. nr. 75/2010): recepția, depozitarea, conservarea, eliberarea medicamentelor; evidențe și documente; asigurarea calității.</w:t>
      </w:r>
    </w:p>
    <w:p>
      <w:pPr>
        <w:pStyle w:val="ListParagraph"/>
        <w:numPr>
          <w:ilvl w:val="0"/>
          <w:numId w:val="5"/>
        </w:numPr>
        <w:spacing w:after="60" w:line="264"/>
        <w:jc w:val="both"/>
      </w:pPr>
      <w:r>
        <w:rPr>
          <w:rFonts w:ascii="Times New Roman" w:cs="Times New Roman" w:eastAsia="Times New Roman" w:hAnsi="Times New Roman"/>
          <w:sz w:val="24"/>
          <w:szCs w:val="24"/>
        </w:rPr>
        <w:t xml:space="preserve">Regimul juridic al plantelor, substanțelor și preparatelor stupefiante și psihotrope (Legea nr. 339/2005 și normele metodologice aprobate prin H.G. nr. 1915/2006): procurarea, păstrarea, evidența, eliberarea și distrugerea în unitățile sanitare cu paturi.</w:t>
      </w:r>
    </w:p>
    <w:p>
      <w:pPr>
        <w:pStyle w:val="ListParagraph"/>
        <w:numPr>
          <w:ilvl w:val="0"/>
          <w:numId w:val="5"/>
        </w:numPr>
        <w:spacing w:after="60" w:line="264"/>
        <w:jc w:val="both"/>
      </w:pPr>
      <w:r>
        <w:rPr>
          <w:rFonts w:ascii="Times New Roman" w:cs="Times New Roman" w:eastAsia="Times New Roman" w:hAnsi="Times New Roman"/>
          <w:sz w:val="24"/>
          <w:szCs w:val="24"/>
        </w:rPr>
        <w:t xml:space="preserve">Supravegherea, prevenirea și limitarea infecțiilor asociate asistenței medicale (Ordinul M.S. nr. 1101/2016): atribuțiile farmacistului; politica de utilizare a antibioticelor; consumul de antibiotice și antiseptice.</w:t>
      </w:r>
    </w:p>
    <w:p>
      <w:pPr>
        <w:pStyle w:val="ListParagraph"/>
        <w:numPr>
          <w:ilvl w:val="0"/>
          <w:numId w:val="5"/>
        </w:numPr>
        <w:spacing w:after="60" w:line="264"/>
        <w:jc w:val="both"/>
      </w:pPr>
      <w:r>
        <w:rPr>
          <w:rFonts w:ascii="Times New Roman" w:cs="Times New Roman" w:eastAsia="Times New Roman" w:hAnsi="Times New Roman"/>
          <w:sz w:val="24"/>
          <w:szCs w:val="24"/>
        </w:rPr>
        <w:t xml:space="preserve">Gestiunea medicamentelor și materialelor sanitare în spital: necesarul, aprovizionarea, achizițiile publice (Legea nr. 98/2016 – principii generale), condica de prescripție, evidența consumurilor, inventarierea.</w:t>
      </w:r>
    </w:p>
    <w:p>
      <w:pPr>
        <w:keepNext/>
        <w:spacing w:before="120" w:after="60" w:line="264"/>
        <w:jc w:val="left"/>
      </w:pPr>
      <w:r>
        <w:rPr>
          <w:rFonts w:ascii="Times New Roman" w:cs="Times New Roman" w:eastAsia="Times New Roman" w:hAnsi="Times New Roman"/>
          <w:b/>
          <w:bCs/>
          <w:i/>
          <w:iCs/>
          <w:sz w:val="24"/>
          <w:szCs w:val="24"/>
        </w:rPr>
        <w:t xml:space="preserve">B. Farmacologie și farmacoterapie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Farmacodinamia și farmacocinetica generală</w:t>
      </w:r>
    </w:p>
    <w:p>
      <w:pPr>
        <w:pStyle w:val="ListParagraph"/>
        <w:numPr>
          <w:ilvl w:val="0"/>
          <w:numId w:val="6"/>
        </w:numPr>
        <w:spacing w:after="60" w:line="264"/>
        <w:jc w:val="both"/>
      </w:pPr>
      <w:r>
        <w:rPr>
          <w:rFonts w:ascii="Times New Roman" w:cs="Times New Roman" w:eastAsia="Times New Roman" w:hAnsi="Times New Roman"/>
          <w:sz w:val="24"/>
          <w:szCs w:val="24"/>
        </w:rPr>
        <w:t xml:space="preserve">Bazele fiziopatologice ale farmacologiei sistemului nervos vegetativ; sinapsele adrenergice și colinergice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Simpatomimetice și simpatolitice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Parasimpatomimetice și parasimpatolitice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Antiinflamatoare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Aparatul respirator – baze fiziopatologice; antiastmatice, antitusive, expectorante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Aparatul cardiovascular – baze fiziopatologice; cardiotonice și alte stimulante ale contractilității miocardice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Antianginoase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Antihipertensive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Diuretice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Antitrombotice și antihemoragice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Aparatul digestiv – baze fiziopatologice; antiulceroase; antispastice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Farmacoterapia durerii – baze fiziopatologice; sistemul opioid endogen; analgezice opioide și analgezice-antipiretice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Antidiabetice</w:t>
      </w:r>
    </w:p>
    <w:p>
      <w:pPr>
        <w:pStyle w:val="ListParagraph"/>
        <w:numPr>
          <w:ilvl w:val="0"/>
          <w:numId w:val="6"/>
        </w:numPr>
        <w:spacing w:after="60" w:line="264"/>
        <w:jc w:val="both"/>
      </w:pPr>
      <w:r>
        <w:rPr>
          <w:rFonts w:ascii="Times New Roman" w:cs="Times New Roman" w:eastAsia="Times New Roman" w:hAnsi="Times New Roman"/>
          <w:sz w:val="24"/>
          <w:szCs w:val="24"/>
        </w:rPr>
        <w:t xml:space="preserve">Antibiotice și chimioterapice antimicrobiene</w:t>
      </w:r>
    </w:p>
    <w:p>
      <w:pPr>
        <w:keepNext/>
        <w:spacing w:before="200" w:after="60" w:line="264"/>
        <w:jc w:val="left"/>
      </w:pPr>
      <w:r>
        <w:rPr>
          <w:rFonts w:ascii="Times New Roman" w:cs="Times New Roman" w:eastAsia="Times New Roman" w:hAnsi="Times New Roman"/>
          <w:b/>
          <w:bCs/>
          <w:sz w:val="24"/>
          <w:szCs w:val="24"/>
        </w:rPr>
        <w:t xml:space="preserve">II. TEMATICA PENTRU PROBA PRACTICĂ</w:t>
      </w:r>
    </w:p>
    <w:p>
      <w:pPr>
        <w:pStyle w:val="ListParagraph"/>
        <w:numPr>
          <w:ilvl w:val="0"/>
          <w:numId w:val="7"/>
        </w:numPr>
        <w:spacing w:after="60" w:line="264"/>
        <w:jc w:val="both"/>
      </w:pPr>
      <w:r>
        <w:rPr>
          <w:rFonts w:ascii="Times New Roman" w:cs="Times New Roman" w:eastAsia="Times New Roman" w:hAnsi="Times New Roman"/>
          <w:sz w:val="24"/>
          <w:szCs w:val="24"/>
        </w:rPr>
        <w:t xml:space="preserve">Analiza și interpretarea unei scheme farmacoterapeutice cu medicamente din grupele prevăzute în tematica probei scrise: farmacocinetică, farmacodinamie, farmacotoxicologie, farmacoterapie, farmacografie, farmacoepidemiologie, interacțiuni medicamentoase, influența asupra rezultatelor analizelor de laborator.</w:t>
      </w:r>
    </w:p>
    <w:p>
      <w:pPr>
        <w:pStyle w:val="ListParagraph"/>
        <w:numPr>
          <w:ilvl w:val="0"/>
          <w:numId w:val="7"/>
        </w:numPr>
        <w:spacing w:after="60" w:line="264"/>
        <w:jc w:val="both"/>
      </w:pPr>
      <w:r>
        <w:rPr>
          <w:rFonts w:ascii="Times New Roman" w:cs="Times New Roman" w:eastAsia="Times New Roman" w:hAnsi="Times New Roman"/>
          <w:sz w:val="24"/>
          <w:szCs w:val="24"/>
        </w:rPr>
        <w:t xml:space="preserve">Rezolvarea unei situații practice privind activitatea farmaciei cu circuit închis: circuitul medicamentului în spital (de la prescriere la administrare), gestiunea stupefiantelor și psihotropelor, analiza consumului de antibiotice pe secții.</w:t>
      </w:r>
    </w:p>
    <w:p>
      <w:pPr>
        <w:keepNext/>
        <w:spacing w:before="200" w:after="60" w:line="264"/>
        <w:jc w:val="left"/>
      </w:pPr>
      <w:r>
        <w:rPr>
          <w:rFonts w:ascii="Times New Roman" w:cs="Times New Roman" w:eastAsia="Times New Roman" w:hAnsi="Times New Roman"/>
          <w:b/>
          <w:bCs/>
          <w:sz w:val="24"/>
          <w:szCs w:val="24"/>
        </w:rPr>
        <w:t xml:space="preserve">III. BIBLIOGRAFIE</w:t>
      </w:r>
    </w:p>
    <w:p>
      <w:pPr>
        <w:keepNext/>
        <w:spacing w:before="60" w:after="60" w:line="264"/>
        <w:jc w:val="left"/>
      </w:pPr>
      <w:r>
        <w:rPr>
          <w:rFonts w:ascii="Times New Roman" w:cs="Times New Roman" w:eastAsia="Times New Roman" w:hAnsi="Times New Roman"/>
          <w:b/>
          <w:bCs/>
          <w:i/>
          <w:iCs/>
          <w:sz w:val="24"/>
          <w:szCs w:val="24"/>
        </w:rPr>
        <w:t xml:space="preserve">A. Legislație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Legea nr. 95/2006 privind reforma în domeniul sănătății, republicată, cu modificările și completările ulterioare – Titlul VII, Titlul XIV, Titlul XVIII;</w:t>
      </w:r>
    </w:p>
    <w:p>
      <w:pPr>
        <w:pStyle w:val="ListParagraph"/>
        <w:numPr>
          <w:ilvl w:val="0"/>
          <w:numId w:val="8"/>
        </w:numPr>
        <w:spacing w:after="60" w:line="264"/>
        <w:jc w:val="both"/>
      </w:pPr>
      <w:r>
        <w:rPr>
          <w:rFonts w:ascii="Times New Roman" w:cs="Times New Roman" w:eastAsia="Times New Roman" w:hAnsi="Times New Roman"/>
          <w:sz w:val="24"/>
          <w:szCs w:val="24"/>
        </w:rPr>
        <w:t xml:space="preserve">Legea farmaciei nr. 266/2008, republicată, cu modificările și completările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Ordinul ministrului sănătății nr. 444/2019 pentru aprobarea Normelor privind înființarea, organizarea și funcționarea unităților farmaceutice, cu modificările și completările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Ordinul ministrului sănătății nr. 75/2010 pentru aprobarea Regulilor de bună practică farmaceutică, cu modificările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Legea nr. 339/2005 privind regimul juridic al plantelor, substanțelor și preparatelor stupefiante și psihotrope, cu modificările și completările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Hotărârea Guvernului nr. 1915/2006 pentru aprobarea Normelor metodologice de aplicare a prevederilor Legii nr. 339/2005, cu modificările și completările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Ordinul ministrului sănătății nr. 1101/2016 privind aprobarea Normelor de supraveghere, prevenire și limitare a infecțiilor asociate asistenței medicale în unitățile sanitare;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Legea nr. 46/2003 privind drepturile pacientului, cu modificările și completările ulterioare;</w:t>
      </w:r>
    </w:p>
    <w:p>
      <w:pPr>
        <w:pStyle w:val="ListParagraph"/>
        <w:numPr>
          <w:ilvl w:val="0"/>
          <w:numId w:val="8"/>
        </w:numPr>
        <w:spacing w:after="60" w:line="264"/>
        <w:jc w:val="both"/>
      </w:pPr>
      <w:r>
        <w:rPr>
          <w:rFonts w:ascii="Times New Roman" w:cs="Times New Roman" w:eastAsia="Times New Roman" w:hAnsi="Times New Roman"/>
          <w:sz w:val="24"/>
          <w:szCs w:val="24"/>
        </w:rPr>
        <w:t xml:space="preserve">Legea nr. 98/2016 privind achizițiile publice, cu modificările și completările ulterioare – dispoziții generale.</w:t>
      </w:r>
    </w:p>
    <w:p>
      <w:pPr>
        <w:keepNext/>
        <w:spacing w:before="120" w:after="60" w:line="264"/>
        <w:jc w:val="left"/>
      </w:pPr>
      <w:r>
        <w:rPr>
          <w:rFonts w:ascii="Times New Roman" w:cs="Times New Roman" w:eastAsia="Times New Roman" w:hAnsi="Times New Roman"/>
          <w:b/>
          <w:bCs/>
          <w:i/>
          <w:iCs/>
          <w:sz w:val="24"/>
          <w:szCs w:val="24"/>
        </w:rPr>
        <w:t xml:space="preserve">B. Farmacologie și farmacoterapie</w:t>
      </w:r>
    </w:p>
    <w:p>
      <w:pPr>
        <w:pStyle w:val="ListParagraph"/>
        <w:numPr>
          <w:ilvl w:val="0"/>
          <w:numId w:val="9"/>
        </w:numPr>
        <w:spacing w:after="60" w:line="264"/>
        <w:jc w:val="both"/>
      </w:pPr>
      <w:r>
        <w:rPr>
          <w:rFonts w:ascii="Times New Roman" w:cs="Times New Roman" w:eastAsia="Times New Roman" w:hAnsi="Times New Roman"/>
          <w:sz w:val="24"/>
          <w:szCs w:val="24"/>
        </w:rPr>
        <w:t xml:space="preserve">Wells B.G., Schwinghammer T.L., DiPiro J.T., DiPiro C.V. – Manual de farmacoterapie (ediția în limba română, coord. Adina Popa), Editura Prior, București, 2019;</w:t>
      </w:r>
    </w:p>
    <w:p>
      <w:pPr>
        <w:pStyle w:val="ListParagraph"/>
        <w:numPr>
          <w:ilvl w:val="0"/>
          <w:numId w:val="9"/>
        </w:numPr>
        <w:spacing w:after="60" w:line="264"/>
        <w:jc w:val="both"/>
      </w:pPr>
      <w:r>
        <w:rPr>
          <w:rFonts w:ascii="Times New Roman" w:cs="Times New Roman" w:eastAsia="Times New Roman" w:hAnsi="Times New Roman"/>
          <w:sz w:val="24"/>
          <w:szCs w:val="24"/>
        </w:rPr>
        <w:t xml:space="preserve">Dobrescu D., Negreș S., Dobrescu L., McKinnon R. – MEMOMED, ediția cea mai recentă, Editura Universitară, București;</w:t>
      </w:r>
    </w:p>
    <w:p>
      <w:pPr>
        <w:pStyle w:val="ListParagraph"/>
        <w:numPr>
          <w:ilvl w:val="0"/>
          <w:numId w:val="9"/>
        </w:numPr>
        <w:spacing w:after="60" w:line="264"/>
        <w:jc w:val="both"/>
      </w:pPr>
      <w:r>
        <w:rPr>
          <w:rFonts w:ascii="Times New Roman" w:cs="Times New Roman" w:eastAsia="Times New Roman" w:hAnsi="Times New Roman"/>
          <w:sz w:val="24"/>
          <w:szCs w:val="24"/>
        </w:rPr>
        <w:t xml:space="preserve">Chiriță C., Marineci C.D. – Agenda medicală, ediția cea mai recentă, Editura Medicală, București;</w:t>
      </w:r>
    </w:p>
    <w:p>
      <w:pPr>
        <w:pStyle w:val="ListParagraph"/>
        <w:numPr>
          <w:ilvl w:val="0"/>
          <w:numId w:val="9"/>
        </w:numPr>
        <w:spacing w:after="60" w:line="264"/>
        <w:jc w:val="both"/>
      </w:pPr>
      <w:r>
        <w:rPr>
          <w:rFonts w:ascii="Times New Roman" w:cs="Times New Roman" w:eastAsia="Times New Roman" w:hAnsi="Times New Roman"/>
          <w:sz w:val="24"/>
          <w:szCs w:val="24"/>
        </w:rPr>
        <w:t xml:space="preserve">Harvey R.A. – Lippincott: Farmacologie ilustrată (ediția în limba română), Editura Medicală Callisto, București, 2013.</w:t>
      </w:r>
    </w:p>
    <w:p>
      <w:pPr>
        <w:spacing w:before="200" w:after="360" w:line="264"/>
        <w:ind w:firstLine="720"/>
        <w:jc w:val="both"/>
      </w:pPr>
      <w:r>
        <w:rPr>
          <w:rFonts w:ascii="Times New Roman" w:cs="Times New Roman" w:eastAsia="Times New Roman" w:hAnsi="Times New Roman"/>
          <w:sz w:val="24"/>
          <w:szCs w:val="24"/>
        </w:rPr>
        <w:t xml:space="preserve">Actele normative se studiază în forma actualizată la data publicării anunțului de concurs.</w:t>
      </w:r>
    </w:p>
    <w:tbl>
      <w:tblPr>
        <w:tblW w:type="dxa" w:w="9360"/>
        <w:tblLayout w:type="fixed"/>
      </w:tblPr>
      <w:tblGrid>
        <w:gridCol w:w="4680"/>
        <w:gridCol w:w="4680"/>
      </w:tblGrid>
      <w:tr>
        <w:trPr>
          <w:cantSplit/>
        </w:trPr>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Întocmit,</w:t>
            </w:r>
          </w:p>
          <w:p>
            <w:pPr>
              <w:spacing w:after="0"/>
            </w:pPr>
            <w:r>
              <w:rPr>
                <w:rFonts w:ascii="Times New Roman" w:cs="Times New Roman" w:eastAsia="Times New Roman" w:hAnsi="Times New Roman"/>
                <w:b/>
                <w:bCs/>
                <w:sz w:val="24"/>
                <w:szCs w:val="24"/>
              </w:rPr>
              <w:t xml:space="preserve">Farmacist,</w:t>
            </w:r>
          </w:p>
          <w:p>
            <w:pPr>
              <w:spacing w:after="0"/>
            </w:pPr>
            <w:r>
              <w:rPr>
                <w:rFonts w:ascii="Times New Roman" w:cs="Times New Roman" w:eastAsia="Times New Roman" w:hAnsi="Times New Roman"/>
                <w:b/>
                <w:bCs/>
                <w:sz w:val="24"/>
                <w:szCs w:val="24"/>
              </w:rPr>
              <w:t xml:space="preserve">Antal Csilla</w:t>
            </w:r>
          </w:p>
        </w:tc>
        <w:tc>
          <w:tcPr>
            <w:tcW w:type="dxa" w:w="4680"/>
            <w:tcBorders>
              <w:top w:val="none" w:color="FFFFFF" w:sz="0"/>
              <w:left w:val="none" w:color="FFFFFF" w:sz="0"/>
              <w:bottom w:val="none" w:color="FFFFFF" w:sz="0"/>
              <w:right w:val="none" w:color="FFFFFF" w:sz="0"/>
            </w:tcBorders>
          </w:tcPr>
          <w:p>
            <w:pPr>
              <w:spacing w:after="0"/>
            </w:pPr>
            <w:r>
              <w:rPr>
                <w:rFonts w:ascii="Times New Roman" w:cs="Times New Roman" w:eastAsia="Times New Roman" w:hAnsi="Times New Roman"/>
                <w:b/>
                <w:bCs/>
                <w:sz w:val="24"/>
                <w:szCs w:val="24"/>
              </w:rPr>
              <w:t xml:space="preserve">Șef serviciu RUNOS-IT,</w:t>
            </w:r>
          </w:p>
          <w:p>
            <w:pPr>
              <w:spacing w:after="0"/>
            </w:pPr>
            <w:r>
              <w:rPr>
                <w:rFonts w:ascii="Times New Roman" w:cs="Times New Roman" w:eastAsia="Times New Roman" w:hAnsi="Times New Roman"/>
                <w:b/>
                <w:bCs/>
                <w:sz w:val="24"/>
                <w:szCs w:val="24"/>
              </w:rPr>
              <w:t xml:space="preserve">Lukács Zoltán</w:t>
            </w:r>
          </w:p>
        </w:tc>
      </w:tr>
    </w:tbl>
    <w:p>
      <w:pPr>
        <w:spacing w:after="0"/>
      </w:pPr>
    </w:p>
    <w:sectPr>
      <w:headerReference w:type="default" r:id="rId7"/>
      <w:footerReference w:type="default" r:id="rId8"/>
      <w:pgSz w:w="11906" w:h="16838" w:orient="portrait"/>
      <w:pgMar w:top="1900" w:right="1100" w:bottom="1200" w:left="1300" w:header="4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09600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96000" cy="6858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900" w:hanging="200"/>
      </w:pPr>
    </w:lvl>
  </w:abstractNum>
  <w:abstractNum w:abstractNumId="3" w15:restartNumberingAfterBreak="0">
    <w:multiLevelType w:val="hybridMultilevel"/>
    <w:lvl w:ilvl="0" w15:tentative="1">
      <w:start w:val="1"/>
      <w:numFmt w:val="bullet"/>
      <w:lvlText w:val="➢"/>
      <w:lvlJc w:val="left"/>
      <w:pPr>
        <w:ind w:left="720" w:hanging="360"/>
      </w:pPr>
    </w:lvl>
  </w:abstractNum>
  <w:abstractNum w:abstractNumId="4" w15:restartNumberingAfterBreak="0">
    <w:multiLevelType w:val="hybridMultilevel"/>
    <w:lvl w:ilvl="0" w15:tentative="1">
      <w:start w:val="1"/>
      <w:numFmt w:val="bullet"/>
      <w:lvlText w:val="•"/>
      <w:lvlJc w:val="left"/>
      <w:pPr>
        <w:ind w:left="360" w:hanging="240"/>
      </w:pPr>
    </w:lvl>
  </w:abstractNum>
  <w:abstractNum w:abstractNumId="5">
    <w:multiLevelType w:val="hybridMultilevel"/>
    <w:lvl w:ilvl="0">
      <w:start w:val="1"/>
      <w:numFmt w:val="decimal"/>
      <w:lvlText w:val="%1."/>
      <w:lvlJc w:val="left"/>
      <w:pPr>
        <w:ind w:left="720" w:hanging="360"/>
      </w:pPr>
      <w:rPr>
        <w:rFonts w:ascii="Times New Roman" w:cs="Times New Roman" w:eastAsia="Times New Roman" w:hAnsi="Times New Roman"/>
        <w:sz w:val="24"/>
        <w:szCs w:val="24"/>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13f5740b2ac282422fbfdacd4a35b4541b1b6e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2026-10-08T10:40:10.309Z</dcterms:created>
  <dcterms:modified xsi:type="dcterms:W3CDTF">2026-10-08T10:40:10.309Z</dcterms:modified>
</cp:coreProperties>
</file>

<file path=docProps/custom.xml><?xml version="1.0" encoding="utf-8"?>
<Properties xmlns="http://schemas.openxmlformats.org/officeDocument/2006/custom-properties" xmlns:vt="http://schemas.openxmlformats.org/officeDocument/2006/docPropsVTypes"/>
</file>