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pPr>
      <w:r>
        <w:rPr>
          <w:rFonts w:ascii="Calibri" w:cs="Calibri" w:eastAsia="Calibri" w:hAnsi="Calibri"/>
          <w:sz w:val="22"/>
          <w:szCs w:val="22"/>
        </w:rPr>
        <w:t xml:space="preserve">Nr.înreg. 10997/08.10.2026</w:t>
      </w:r>
    </w:p>
    <w:p>
      <w:pPr>
        <w:spacing w:after="160"/>
        <w:jc w:val="center"/>
      </w:pPr>
      <w:r>
        <w:rPr>
          <w:rFonts w:ascii="Calibri" w:cs="Calibri" w:eastAsia="Calibri" w:hAnsi="Calibri"/>
          <w:b/>
          <w:bCs/>
          <w:sz w:val="26"/>
          <w:szCs w:val="26"/>
        </w:rPr>
        <w:t xml:space="preserve">ANUNȚ</w:t>
      </w:r>
    </w:p>
    <w:p>
      <w:pPr>
        <w:spacing w:after="300"/>
        <w:jc w:val="center"/>
      </w:pPr>
      <w:r>
        <w:rPr>
          <w:rFonts w:ascii="Calibri" w:cs="Calibri" w:eastAsia="Calibri" w:hAnsi="Calibri"/>
          <w:b/>
          <w:bCs/>
          <w:sz w:val="26"/>
          <w:szCs w:val="26"/>
        </w:rPr>
        <w:t xml:space="preserve">CONCURS DE OCUPARE A FUNCȚIEI DE ȘEF LABORATOR ANATOMIE PATOLOGICĂ</w:t>
      </w:r>
    </w:p>
    <w:p>
      <w:pPr>
        <w:spacing w:after="60" w:line="264"/>
        <w:ind w:firstLine="720"/>
        <w:jc w:val="both"/>
      </w:pPr>
      <w:r>
        <w:rPr>
          <w:rFonts w:ascii="Times New Roman" w:cs="Times New Roman" w:eastAsia="Times New Roman" w:hAnsi="Times New Roman"/>
          <w:sz w:val="24"/>
          <w:szCs w:val="24"/>
        </w:rPr>
        <w:t xml:space="preserve">În conformitate cu prevederile Ordinului M.S. nr. 1406 din 16 noiembrie 2006 pentru aprobarea Normelor privind organizarea concursului ori examenului pentru ocuparea funcției de șef de secție, șef de laborator sau șef de serviciu din unitățile sanitare publice, cu modificările și completările ulterioare, coroborat cu prevederile art. 185 din Legea nr. 95/2006 privind reforma în domeniul sănătății, republicată, cu modificările și completările ulterioare, </w:t>
      </w:r>
      <w:r>
        <w:rPr>
          <w:rFonts w:ascii="Times New Roman" w:cs="Times New Roman" w:eastAsia="Times New Roman" w:hAnsi="Times New Roman"/>
          <w:b/>
          <w:bCs/>
          <w:sz w:val="24"/>
          <w:szCs w:val="24"/>
        </w:rPr>
        <w:t xml:space="preserve">Spitalul Municipal Odorheiu Secuiesc</w:t>
      </w:r>
      <w:r>
        <w:rPr>
          <w:rFonts w:ascii="Times New Roman" w:cs="Times New Roman" w:eastAsia="Times New Roman" w:hAnsi="Times New Roman"/>
          <w:sz w:val="24"/>
          <w:szCs w:val="24"/>
        </w:rPr>
        <w:t xml:space="preserve"> scoate la concurs funcția de:</w:t>
      </w:r>
    </w:p>
    <w:p>
      <w:pPr>
        <w:spacing w:after="0"/>
      </w:pPr>
      <w:r>
        <w:rPr>
          <w:rFonts w:ascii="Times New Roman" w:cs="Times New Roman" w:eastAsia="Times New Roman" w:hAnsi="Times New Roman"/>
          <w:sz w:val="24"/>
          <w:szCs w:val="24"/>
        </w:rPr>
        <w:t xml:space="preserve"/>
      </w:r>
    </w:p>
    <w:p>
      <w:pPr>
        <w:spacing w:after="60" w:line="264"/>
        <w:ind w:left="720"/>
        <w:jc w:val="both"/>
      </w:pPr>
      <w:r>
        <w:rPr>
          <w:rFonts w:ascii="Times New Roman" w:cs="Times New Roman" w:eastAsia="Times New Roman" w:hAnsi="Times New Roman"/>
          <w:sz w:val="24"/>
          <w:szCs w:val="24"/>
        </w:rPr>
        <w:t xml:space="preserve">Medic șef Laborator Anatomie Patologică</w:t>
      </w:r>
    </w:p>
    <w:p>
      <w:pPr>
        <w:spacing w:after="0"/>
      </w:pPr>
      <w:r>
        <w:rPr>
          <w:rFonts w:ascii="Times New Roman" w:cs="Times New Roman" w:eastAsia="Times New Roman" w:hAnsi="Times New Roman"/>
          <w:sz w:val="24"/>
          <w:szCs w:val="24"/>
        </w:rPr>
        <w:t xml:space="preserve"/>
      </w:r>
    </w:p>
    <w:p>
      <w:pPr>
        <w:spacing w:after="60" w:line="264"/>
        <w:jc w:val="both"/>
      </w:pPr>
      <w:r>
        <w:rPr>
          <w:rFonts w:ascii="Times New Roman" w:cs="Times New Roman" w:eastAsia="Times New Roman" w:hAnsi="Times New Roman"/>
          <w:b/>
          <w:bCs/>
          <w:sz w:val="24"/>
          <w:szCs w:val="24"/>
        </w:rPr>
        <w:t xml:space="preserve">Dosarul de înscriere la concurs va cuprinde următoarele acte:</w:t>
      </w:r>
    </w:p>
    <w:p>
      <w:pPr>
        <w:spacing w:after="60" w:line="264"/>
        <w:jc w:val="both"/>
      </w:pPr>
      <w:r>
        <w:rPr>
          <w:rFonts w:ascii="Times New Roman" w:cs="Times New Roman" w:eastAsia="Times New Roman" w:hAnsi="Times New Roman"/>
          <w:b/>
          <w:bCs/>
          <w:sz w:val="24"/>
          <w:szCs w:val="24"/>
        </w:rPr>
        <w:t xml:space="preserve">a)</w:t>
      </w:r>
      <w:r>
        <w:rPr>
          <w:rFonts w:ascii="Times New Roman" w:cs="Times New Roman" w:eastAsia="Times New Roman" w:hAnsi="Times New Roman"/>
          <w:sz w:val="24"/>
          <w:szCs w:val="24"/>
        </w:rPr>
        <w:t xml:space="preserve">cererea în care se menționează funcția pentru care doresc să concureze (Formular de înscriere atașat);</w:t>
      </w:r>
    </w:p>
    <w:p>
      <w:pPr>
        <w:spacing w:after="60" w:line="264"/>
        <w:jc w:val="both"/>
      </w:pPr>
      <w:r>
        <w:rPr>
          <w:rFonts w:ascii="Times New Roman" w:cs="Times New Roman" w:eastAsia="Times New Roman" w:hAnsi="Times New Roman"/>
          <w:b/>
          <w:bCs/>
          <w:sz w:val="24"/>
          <w:szCs w:val="24"/>
        </w:rPr>
        <w:t xml:space="preserve">b)</w:t>
      </w:r>
      <w:r>
        <w:rPr>
          <w:rFonts w:ascii="Times New Roman" w:cs="Times New Roman" w:eastAsia="Times New Roman" w:hAnsi="Times New Roman"/>
          <w:sz w:val="24"/>
          <w:szCs w:val="24"/>
        </w:rPr>
        <w:t xml:space="preserve">copia xerox a diplomei de studii;</w:t>
      </w:r>
    </w:p>
    <w:p>
      <w:pPr>
        <w:spacing w:after="60" w:line="264"/>
        <w:jc w:val="both"/>
      </w:pPr>
      <w:r>
        <w:rPr>
          <w:rFonts w:ascii="Times New Roman" w:cs="Times New Roman" w:eastAsia="Times New Roman" w:hAnsi="Times New Roman"/>
          <w:b/>
          <w:bCs/>
          <w:sz w:val="24"/>
          <w:szCs w:val="24"/>
        </w:rPr>
        <w:t xml:space="preserve">c)</w:t>
      </w:r>
      <w:r>
        <w:rPr>
          <w:rFonts w:ascii="Times New Roman" w:cs="Times New Roman" w:eastAsia="Times New Roman" w:hAnsi="Times New Roman"/>
          <w:sz w:val="24"/>
          <w:szCs w:val="24"/>
        </w:rPr>
        <w:t xml:space="preserve">adeverința din care să reiasă confirmarea în gradul profesional;</w:t>
      </w:r>
    </w:p>
    <w:p>
      <w:pPr>
        <w:spacing w:after="60" w:line="264"/>
        <w:jc w:val="both"/>
      </w:pPr>
      <w:r>
        <w:rPr>
          <w:rFonts w:ascii="Times New Roman" w:cs="Times New Roman" w:eastAsia="Times New Roman" w:hAnsi="Times New Roman"/>
          <w:b/>
          <w:bCs/>
          <w:sz w:val="24"/>
          <w:szCs w:val="24"/>
        </w:rPr>
        <w:t xml:space="preserve">d)</w:t>
      </w:r>
      <w:r>
        <w:rPr>
          <w:rFonts w:ascii="Times New Roman" w:cs="Times New Roman" w:eastAsia="Times New Roman" w:hAnsi="Times New Roman"/>
          <w:sz w:val="24"/>
          <w:szCs w:val="24"/>
        </w:rPr>
        <w:t xml:space="preserve">actele doveditoare pentru calcularea punctajului prevăzut în Anexa la normele menționate;</w:t>
      </w:r>
    </w:p>
    <w:p>
      <w:pPr>
        <w:spacing w:after="60" w:line="264"/>
        <w:jc w:val="both"/>
      </w:pPr>
      <w:r>
        <w:rPr>
          <w:rFonts w:ascii="Times New Roman" w:cs="Times New Roman" w:eastAsia="Times New Roman" w:hAnsi="Times New Roman"/>
          <w:b/>
          <w:bCs/>
          <w:sz w:val="24"/>
          <w:szCs w:val="24"/>
        </w:rPr>
        <w:t xml:space="preserve">e)</w:t>
      </w:r>
      <w:r>
        <w:rPr>
          <w:rFonts w:ascii="Times New Roman" w:cs="Times New Roman" w:eastAsia="Times New Roman" w:hAnsi="Times New Roman"/>
          <w:sz w:val="24"/>
          <w:szCs w:val="24"/>
        </w:rPr>
        <w:t xml:space="preserve">declarația pe propria răspundere a candidatului, din care să rezulte că nu a fost condamnat penal pentru fapte care îl fac incompatibil cu funcția pentru ocuparea căreia dorește să concureze;</w:t>
      </w:r>
    </w:p>
    <w:p>
      <w:pPr>
        <w:spacing w:after="60" w:line="264"/>
        <w:jc w:val="both"/>
      </w:pPr>
      <w:r>
        <w:rPr>
          <w:rFonts w:ascii="Times New Roman" w:cs="Times New Roman" w:eastAsia="Times New Roman" w:hAnsi="Times New Roman"/>
          <w:b/>
          <w:bCs/>
          <w:sz w:val="24"/>
          <w:szCs w:val="24"/>
        </w:rPr>
        <w:t xml:space="preserve">f)</w:t>
      </w:r>
      <w:r>
        <w:rPr>
          <w:rFonts w:ascii="Times New Roman" w:cs="Times New Roman" w:eastAsia="Times New Roman" w:hAnsi="Times New Roman"/>
          <w:sz w:val="24"/>
          <w:szCs w:val="24"/>
        </w:rPr>
        <w:t xml:space="preserve">declarația pe propria răspundere a candidatului, din care să rezulte că nu se află în stare de incompatibilitate;</w:t>
      </w:r>
    </w:p>
    <w:p>
      <w:pPr>
        <w:spacing w:after="60" w:line="264"/>
        <w:jc w:val="both"/>
      </w:pPr>
      <w:r>
        <w:rPr>
          <w:rFonts w:ascii="Times New Roman" w:cs="Times New Roman" w:eastAsia="Times New Roman" w:hAnsi="Times New Roman"/>
          <w:b/>
          <w:bCs/>
          <w:sz w:val="24"/>
          <w:szCs w:val="24"/>
        </w:rPr>
        <w:t xml:space="preserve">g)</w:t>
      </w:r>
      <w:r>
        <w:rPr>
          <w:rFonts w:ascii="Times New Roman" w:cs="Times New Roman" w:eastAsia="Times New Roman" w:hAnsi="Times New Roman"/>
          <w:sz w:val="24"/>
          <w:szCs w:val="24"/>
        </w:rPr>
        <w:t xml:space="preserve">certificatul privind starea de sănătate;</w:t>
      </w:r>
    </w:p>
    <w:p>
      <w:pPr>
        <w:spacing w:after="60" w:line="264"/>
        <w:jc w:val="both"/>
      </w:pPr>
      <w:r>
        <w:rPr>
          <w:rFonts w:ascii="Times New Roman" w:cs="Times New Roman" w:eastAsia="Times New Roman" w:hAnsi="Times New Roman"/>
          <w:b/>
          <w:bCs/>
          <w:sz w:val="24"/>
          <w:szCs w:val="24"/>
        </w:rPr>
        <w:t xml:space="preserve">h)</w:t>
      </w:r>
      <w:r>
        <w:rPr>
          <w:rFonts w:ascii="Times New Roman" w:cs="Times New Roman" w:eastAsia="Times New Roman" w:hAnsi="Times New Roman"/>
          <w:sz w:val="24"/>
          <w:szCs w:val="24"/>
        </w:rPr>
        <w:t xml:space="preserve">dovada/adeverința din care să rezulte că în ultimii 2 ani nu a fost sancționat de către conducerea unităților în care și-a desfășurat activitatea sau de către Colegiul Medicilor din România;</w:t>
      </w:r>
    </w:p>
    <w:p>
      <w:pPr>
        <w:spacing w:after="60" w:line="264"/>
        <w:jc w:val="both"/>
      </w:pPr>
      <w:r>
        <w:rPr>
          <w:rFonts w:ascii="Times New Roman" w:cs="Times New Roman" w:eastAsia="Times New Roman" w:hAnsi="Times New Roman"/>
          <w:b/>
          <w:bCs/>
          <w:sz w:val="24"/>
          <w:szCs w:val="24"/>
        </w:rPr>
        <w:t xml:space="preserve">h1)</w:t>
      </w:r>
      <w:r>
        <w:rPr>
          <w:rFonts w:ascii="Times New Roman" w:cs="Times New Roman" w:eastAsia="Times New Roman" w:hAnsi="Times New Roman"/>
          <w:sz w:val="24"/>
          <w:szCs w:val="24"/>
        </w:rPr>
        <w:t xml:space="preserve"> în situația în care persoana a fost sancționată și a contestat conform legii sancțiunea aplicată fie de unitatea angajatoare, fie de Colegiul Medicilor din România, un document, certificat de grefă, emis de instanța judecătorească competentă, din care să reiasă existența pe rolul instanței a unui litigiu cu privire la sancțiunea aplicată;</w:t>
      </w:r>
    </w:p>
    <w:p>
      <w:pPr>
        <w:spacing w:after="60" w:line="264"/>
        <w:jc w:val="both"/>
      </w:pPr>
      <w:r>
        <w:rPr>
          <w:rFonts w:ascii="Times New Roman" w:cs="Times New Roman" w:eastAsia="Times New Roman" w:hAnsi="Times New Roman"/>
          <w:b/>
          <w:bCs/>
          <w:sz w:val="24"/>
          <w:szCs w:val="24"/>
        </w:rPr>
        <w:t xml:space="preserve">i)</w:t>
      </w:r>
      <w:r>
        <w:rPr>
          <w:rFonts w:ascii="Times New Roman" w:cs="Times New Roman" w:eastAsia="Times New Roman" w:hAnsi="Times New Roman"/>
          <w:sz w:val="24"/>
          <w:szCs w:val="24"/>
        </w:rPr>
        <w:t xml:space="preserve">copia xerox a autorizației de liberă practică sau certificatul de membru al Colegiului Medicilor din România;</w:t>
      </w:r>
    </w:p>
    <w:p>
      <w:pPr>
        <w:spacing w:after="60" w:line="264"/>
        <w:jc w:val="both"/>
      </w:pPr>
      <w:r>
        <w:rPr>
          <w:rFonts w:ascii="Times New Roman" w:cs="Times New Roman" w:eastAsia="Times New Roman" w:hAnsi="Times New Roman"/>
          <w:b/>
          <w:bCs/>
          <w:sz w:val="24"/>
          <w:szCs w:val="24"/>
        </w:rPr>
        <w:t xml:space="preserve">j)</w:t>
      </w:r>
      <w:r>
        <w:rPr>
          <w:rFonts w:ascii="Times New Roman" w:cs="Times New Roman" w:eastAsia="Times New Roman" w:hAnsi="Times New Roman"/>
          <w:sz w:val="24"/>
          <w:szCs w:val="24"/>
        </w:rPr>
        <w:t xml:space="preserve">copia carnetului de muncă sau, după caz, o adeverință care să ateste confirmarea în specialitate și vechimea în specialitate;</w:t>
      </w:r>
    </w:p>
    <w:p>
      <w:pPr>
        <w:spacing w:after="60" w:line="264"/>
        <w:jc w:val="both"/>
      </w:pPr>
      <w:r>
        <w:rPr>
          <w:rFonts w:ascii="Times New Roman" w:cs="Times New Roman" w:eastAsia="Times New Roman" w:hAnsi="Times New Roman"/>
          <w:b/>
          <w:bCs/>
          <w:sz w:val="24"/>
          <w:szCs w:val="24"/>
        </w:rPr>
        <w:t xml:space="preserve">k)</w:t>
      </w:r>
      <w:r>
        <w:rPr>
          <w:rFonts w:ascii="Times New Roman" w:cs="Times New Roman" w:eastAsia="Times New Roman" w:hAnsi="Times New Roman"/>
          <w:sz w:val="24"/>
          <w:szCs w:val="24"/>
        </w:rPr>
        <w:t xml:space="preserve">un proiect de management privind evoluția viitoare a secției/laboratorului;</w:t>
      </w:r>
    </w:p>
    <w:p>
      <w:pPr>
        <w:spacing w:after="60" w:line="264"/>
        <w:jc w:val="both"/>
      </w:pPr>
      <w:r>
        <w:rPr>
          <w:rFonts w:ascii="Times New Roman" w:cs="Times New Roman" w:eastAsia="Times New Roman" w:hAnsi="Times New Roman"/>
          <w:b/>
          <w:bCs/>
          <w:sz w:val="24"/>
          <w:szCs w:val="24"/>
        </w:rPr>
        <w:t xml:space="preserve">l)</w:t>
      </w:r>
      <w:r>
        <w:rPr>
          <w:rFonts w:ascii="Times New Roman" w:cs="Times New Roman" w:eastAsia="Times New Roman" w:hAnsi="Times New Roman"/>
          <w:sz w:val="24"/>
          <w:szCs w:val="24"/>
        </w:rPr>
        <w:t xml:space="preserve"> declarație pe propria răspundere de luare la cunoștință a prevederilor Articolului IV din Ordonanța de urgență nr. 129 din 29 septembrie 2022.</w:t>
      </w:r>
    </w:p>
    <w:p>
      <w:pPr>
        <w:spacing w:after="0"/>
      </w:pPr>
      <w:r>
        <w:rPr>
          <w:rFonts w:ascii="Times New Roman" w:cs="Times New Roman" w:eastAsia="Times New Roman" w:hAnsi="Times New Roman"/>
          <w:sz w:val="24"/>
          <w:szCs w:val="24"/>
        </w:rPr>
        <w:t xml:space="preserve"/>
      </w:r>
    </w:p>
    <w:p>
      <w:pPr>
        <w:spacing w:after="60" w:line="264"/>
        <w:jc w:val="both"/>
      </w:pPr>
      <w:r>
        <w:rPr>
          <w:rFonts w:ascii="Times New Roman" w:cs="Times New Roman" w:eastAsia="Times New Roman" w:hAnsi="Times New Roman"/>
          <w:b/>
          <w:bCs/>
          <w:sz w:val="24"/>
          <w:szCs w:val="24"/>
        </w:rPr>
        <w:t xml:space="preserve">Copiile actelor din dosarul de concurs vor fi prezentate însoțite de originalele acestora, pentru verificarea conformității.</w:t>
      </w:r>
    </w:p>
    <w:p>
      <w:pPr>
        <w:spacing w:after="60" w:line="264"/>
        <w:jc w:val="both"/>
      </w:pPr>
      <w:r>
        <w:rPr>
          <w:rFonts w:ascii="Times New Roman" w:cs="Times New Roman" w:eastAsia="Times New Roman" w:hAnsi="Times New Roman"/>
          <w:sz w:val="24"/>
          <w:szCs w:val="24"/>
        </w:rPr>
        <w:t xml:space="preserve">Pentru dosarele respinse se stabilește un termen de 5 zile lucrătoare pentru completarea lor.</w:t>
      </w:r>
    </w:p>
    <w:p>
      <w:pPr>
        <w:spacing w:after="60" w:line="264"/>
        <w:jc w:val="both"/>
      </w:pPr>
      <w:r>
        <w:rPr>
          <w:rFonts w:ascii="Times New Roman" w:cs="Times New Roman" w:eastAsia="Times New Roman" w:hAnsi="Times New Roman"/>
          <w:sz w:val="24"/>
          <w:szCs w:val="24"/>
        </w:rPr>
        <w:t xml:space="preserve">După expirarea termenului mai sus prevăzut, dosarele nu mai pot fi completate cu alte acte.</w:t>
      </w:r>
    </w:p>
    <w:p>
      <w:pPr>
        <w:spacing w:after="0"/>
      </w:pPr>
      <w:r>
        <w:rPr>
          <w:rFonts w:ascii="Times New Roman" w:cs="Times New Roman" w:eastAsia="Times New Roman" w:hAnsi="Times New Roman"/>
          <w:sz w:val="24"/>
          <w:szCs w:val="24"/>
        </w:rPr>
        <w:t xml:space="preserve"/>
      </w:r>
    </w:p>
    <w:p>
      <w:pPr>
        <w:spacing w:after="60" w:line="264"/>
        <w:jc w:val="both"/>
      </w:pPr>
      <w:r>
        <w:rPr>
          <w:rFonts w:ascii="Times New Roman" w:cs="Times New Roman" w:eastAsia="Times New Roman" w:hAnsi="Times New Roman"/>
          <w:b/>
          <w:bCs/>
          <w:sz w:val="24"/>
          <w:szCs w:val="24"/>
        </w:rPr>
        <w:t xml:space="preserve">Condiții (criterii) specifice:</w:t>
      </w:r>
    </w:p>
    <w:p>
      <w:pPr>
        <w:pStyle w:val="ListParagraph"/>
        <w:numPr>
          <w:ilvl w:val="0"/>
          <w:numId w:val="2"/>
        </w:numPr>
        <w:spacing w:after="60"/>
        <w:jc w:val="both"/>
      </w:pPr>
      <w:r>
        <w:rPr>
          <w:rFonts w:ascii="Times New Roman" w:cs="Times New Roman" w:eastAsia="Times New Roman" w:hAnsi="Times New Roman"/>
          <w:sz w:val="24"/>
          <w:szCs w:val="24"/>
        </w:rPr>
        <w:t xml:space="preserve">medici primari/specialiști cu o vechime de cel puțin 5 ani în specialitatea postului (Anatomie patologică), specialitate pe care o practică în mod curent și în care sunt confirmați prin ordin al M.S. (vechimea în specialitate decurge de la data confirmării și încadrării ca medic specialist).</w:t>
      </w:r>
    </w:p>
    <w:p>
      <w:pPr>
        <w:spacing w:after="60" w:line="264"/>
        <w:jc w:val="both"/>
      </w:pPr>
      <w:r>
        <w:rPr>
          <w:rFonts w:ascii="Times New Roman" w:cs="Times New Roman" w:eastAsia="Times New Roman" w:hAnsi="Times New Roman"/>
          <w:sz w:val="24"/>
          <w:szCs w:val="24"/>
        </w:rPr>
        <w:t xml:space="preserve">Persoanele sancționate în ultimii 2 ani de unitățile la care au fost angajate sau de Colegiul Medicilor din România, precum și cele cărora le-a încetat contractul de administrare în ultimii 2 ani în condițiile stabilite la art. 5 lit. b), c) sau d) din Ordinul M.S. nr. 1406/2006 sau cele care au împlinit vârsta de pensionare conform legii, nu pot participa la concurs.</w:t>
      </w:r>
    </w:p>
    <w:p>
      <w:pPr>
        <w:spacing w:after="60" w:line="264"/>
        <w:jc w:val="both"/>
      </w:pPr>
      <w:r>
        <w:rPr>
          <w:rFonts w:ascii="Times New Roman" w:cs="Times New Roman" w:eastAsia="Times New Roman" w:hAnsi="Times New Roman"/>
          <w:sz w:val="24"/>
          <w:szCs w:val="24"/>
        </w:rPr>
        <w:t xml:space="preserve">Candidatul declarat câștigător va încheia cu managerul spitalului un contract de administrare pe o durată de 4 ani, în condițiile art. 185 din Legea nr. 95/2006, republicată, cu modificările și completările ulterioare.</w:t>
      </w:r>
    </w:p>
    <w:p>
      <w:pPr>
        <w:spacing w:after="0"/>
      </w:pPr>
      <w:r>
        <w:rPr>
          <w:rFonts w:ascii="Times New Roman" w:cs="Times New Roman" w:eastAsia="Times New Roman" w:hAnsi="Times New Roman"/>
          <w:sz w:val="24"/>
          <w:szCs w:val="24"/>
        </w:rPr>
        <w:t xml:space="preserve"/>
      </w:r>
    </w:p>
    <w:p>
      <w:pPr>
        <w:spacing w:after="60" w:line="264"/>
        <w:jc w:val="both"/>
      </w:pPr>
      <w:r>
        <w:rPr>
          <w:rFonts w:ascii="Times New Roman" w:cs="Times New Roman" w:eastAsia="Times New Roman" w:hAnsi="Times New Roman"/>
          <w:b/>
          <w:bCs/>
          <w:sz w:val="24"/>
          <w:szCs w:val="24"/>
        </w:rPr>
        <w:t xml:space="preserve">Concursul sau examenul va consta în următoarele probe:</w:t>
      </w:r>
    </w:p>
    <w:p>
      <w:pPr>
        <w:pStyle w:val="ListParagraph"/>
        <w:numPr>
          <w:ilvl w:val="0"/>
          <w:numId w:val="3"/>
        </w:numPr>
        <w:spacing w:after="40"/>
        <w:jc w:val="both"/>
      </w:pPr>
      <w:r>
        <w:rPr>
          <w:rFonts w:ascii="Times New Roman" w:cs="Times New Roman" w:eastAsia="Times New Roman" w:hAnsi="Times New Roman"/>
          <w:sz w:val="24"/>
          <w:szCs w:val="24"/>
        </w:rPr>
        <w:t xml:space="preserve">interviu – susținerea proiectului de management privind evoluția viitoare a secției/laboratorului,</w:t>
      </w:r>
    </w:p>
    <w:p>
      <w:pPr>
        <w:pStyle w:val="ListParagraph"/>
        <w:numPr>
          <w:ilvl w:val="0"/>
          <w:numId w:val="3"/>
        </w:numPr>
        <w:spacing w:after="40"/>
        <w:jc w:val="both"/>
      </w:pPr>
      <w:r>
        <w:rPr>
          <w:rFonts w:ascii="Times New Roman" w:cs="Times New Roman" w:eastAsia="Times New Roman" w:hAnsi="Times New Roman"/>
          <w:sz w:val="24"/>
          <w:szCs w:val="24"/>
        </w:rPr>
        <w:t xml:space="preserve">probă scrisă,</w:t>
      </w:r>
    </w:p>
    <w:p>
      <w:pPr>
        <w:pStyle w:val="ListParagraph"/>
        <w:numPr>
          <w:ilvl w:val="0"/>
          <w:numId w:val="3"/>
        </w:numPr>
        <w:spacing w:after="40"/>
        <w:jc w:val="both"/>
      </w:pPr>
      <w:r>
        <w:rPr>
          <w:rFonts w:ascii="Times New Roman" w:cs="Times New Roman" w:eastAsia="Times New Roman" w:hAnsi="Times New Roman"/>
          <w:sz w:val="24"/>
          <w:szCs w:val="24"/>
        </w:rPr>
        <w:t xml:space="preserve">probă clinică sau practică.</w:t>
      </w:r>
    </w:p>
    <w:p>
      <w:pPr>
        <w:spacing w:after="0"/>
      </w:pPr>
      <w:r>
        <w:rPr>
          <w:rFonts w:ascii="Times New Roman" w:cs="Times New Roman" w:eastAsia="Times New Roman" w:hAnsi="Times New Roman"/>
          <w:sz w:val="24"/>
          <w:szCs w:val="24"/>
        </w:rPr>
        <w:t xml:space="preserve"/>
      </w:r>
    </w:p>
    <w:p>
      <w:pPr>
        <w:spacing w:after="60" w:line="264"/>
        <w:ind w:firstLine="720"/>
        <w:jc w:val="both"/>
      </w:pPr>
      <w:r>
        <w:rPr>
          <w:rFonts w:ascii="Times New Roman" w:cs="Times New Roman" w:eastAsia="Times New Roman" w:hAnsi="Times New Roman"/>
          <w:sz w:val="24"/>
          <w:szCs w:val="24"/>
        </w:rPr>
        <w:t xml:space="preserve">Proiectul de specialitate trebuie să fie realizat individual de către candidat și se dezvoltă într-un volum de maxim 10-15 pagini, tehnoredactate pe calculator, cu caractere Times New Roman, mărimea 12, spațiere la un rând.</w:t>
      </w:r>
    </w:p>
    <w:p>
      <w:pPr>
        <w:spacing w:after="60" w:line="264"/>
        <w:ind w:firstLine="720"/>
        <w:jc w:val="both"/>
      </w:pPr>
      <w:r>
        <w:rPr>
          <w:rFonts w:ascii="Times New Roman" w:cs="Times New Roman" w:eastAsia="Times New Roman" w:hAnsi="Times New Roman"/>
          <w:sz w:val="24"/>
          <w:szCs w:val="24"/>
        </w:rPr>
        <w:t xml:space="preserve">Proba scrisă a concursului se susține după subiecte din Legea nr. 95/2006 privind reforma în domeniul sănătății, republicată, cu modificările și completările ulterioare și legislația secundară aferentă.</w:t>
      </w:r>
    </w:p>
    <w:p>
      <w:pPr>
        <w:spacing w:after="60" w:line="264"/>
        <w:ind w:firstLine="720"/>
        <w:jc w:val="both"/>
      </w:pPr>
      <w:r>
        <w:rPr>
          <w:rFonts w:ascii="Times New Roman" w:cs="Times New Roman" w:eastAsia="Times New Roman" w:hAnsi="Times New Roman"/>
          <w:sz w:val="24"/>
          <w:szCs w:val="24"/>
        </w:rPr>
        <w:t xml:space="preserve">Proba clinică sau practică se susține pe baza metodologiei stabilite pentru obținerea titlului de medic specialist.</w:t>
      </w:r>
    </w:p>
    <w:p>
      <w:pPr>
        <w:spacing w:after="0"/>
      </w:pPr>
      <w:r>
        <w:rPr>
          <w:rFonts w:ascii="Times New Roman" w:cs="Times New Roman" w:eastAsia="Times New Roman" w:hAnsi="Times New Roman"/>
          <w:sz w:val="24"/>
          <w:szCs w:val="24"/>
        </w:rPr>
        <w:t xml:space="preserve"/>
      </w:r>
    </w:p>
    <w:p>
      <w:pPr>
        <w:spacing w:after="60" w:line="264"/>
        <w:jc w:val="both"/>
      </w:pPr>
      <w:r>
        <w:rPr>
          <w:rFonts w:ascii="Times New Roman" w:cs="Times New Roman" w:eastAsia="Times New Roman" w:hAnsi="Times New Roman"/>
          <w:sz w:val="24"/>
          <w:szCs w:val="24"/>
        </w:rPr>
        <w:t xml:space="preserve">Înscrierile la concurs se fac la sediul Spitalului Municipal Odorheiu Secuiesc, situat în strada Bethlen Gábor, nr. 72, Odorheiu Secuiesc, la Serv. RUNOS-IT, în termen de 10 zile calendaristice de la apariția acestui anunț în „Viața Medicală”.</w:t>
      </w:r>
    </w:p>
    <w:p>
      <w:pPr>
        <w:spacing w:after="60" w:line="264"/>
        <w:jc w:val="both"/>
      </w:pPr>
      <w:r>
        <w:rPr>
          <w:rFonts w:ascii="Times New Roman" w:cs="Times New Roman" w:eastAsia="Times New Roman" w:hAnsi="Times New Roman"/>
          <w:sz w:val="24"/>
          <w:szCs w:val="24"/>
        </w:rPr>
        <w:t xml:space="preserve">Informații suplimentare se pot obține pe www.spitalodorhei.ro și la telefon: 0266-212186, int. 119.</w:t>
      </w:r>
    </w:p>
    <w:p>
      <w:pPr>
        <w:pageBreakBefore/>
      </w:pPr>
      <w:r>
        <w:rPr>
          <w:rFonts w:ascii="Times New Roman" w:cs="Times New Roman" w:eastAsia="Times New Roman" w:hAnsi="Times New Roman"/>
          <w:sz w:val="24"/>
          <w:szCs w:val="24"/>
        </w:rPr>
        <w:t xml:space="preserve"/>
      </w:r>
    </w:p>
    <w:p>
      <w:pPr>
        <w:spacing w:after="60" w:line="264"/>
        <w:jc w:val="both"/>
      </w:pPr>
      <w:r>
        <w:rPr>
          <w:rFonts w:ascii="Times New Roman" w:cs="Times New Roman" w:eastAsia="Times New Roman" w:hAnsi="Times New Roman"/>
          <w:b/>
          <w:bCs/>
          <w:sz w:val="24"/>
          <w:szCs w:val="24"/>
        </w:rPr>
        <w:t xml:space="preserve">ANEXĂ</w:t>
      </w:r>
    </w:p>
    <w:p>
      <w:pPr>
        <w:spacing w:after="0"/>
      </w:pPr>
      <w:r>
        <w:rPr>
          <w:rFonts w:ascii="Times New Roman" w:cs="Times New Roman" w:eastAsia="Times New Roman" w:hAnsi="Times New Roman"/>
          <w:sz w:val="24"/>
          <w:szCs w:val="24"/>
        </w:rPr>
        <w:t xml:space="preserve"/>
      </w:r>
    </w:p>
    <w:p>
      <w:pPr>
        <w:spacing w:after="60" w:line="264"/>
        <w:jc w:val="both"/>
      </w:pPr>
      <w:r>
        <w:rPr>
          <w:rFonts w:ascii="Times New Roman" w:cs="Times New Roman" w:eastAsia="Times New Roman" w:hAnsi="Times New Roman"/>
          <w:b/>
          <w:bCs/>
          <w:sz w:val="24"/>
          <w:szCs w:val="24"/>
        </w:rPr>
        <w:t xml:space="preserve">Concursul se va organiza conform CALENDARULUI următor la sediul Spitalului:</w:t>
      </w:r>
    </w:p>
    <w:p>
      <w:pPr>
        <w:spacing w:after="0"/>
      </w:pPr>
      <w:r>
        <w:rPr>
          <w:rFonts w:ascii="Times New Roman" w:cs="Times New Roman" w:eastAsia="Times New Roman" w:hAnsi="Times New Roman"/>
          <w:sz w:val="24"/>
          <w:szCs w:val="24"/>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300"/>
        <w:gridCol w:w="3060"/>
      </w:tblGrid>
      <w:tr>
        <w:tc>
          <w:tcPr>
            <w:tcW w:type="dxa" w:w="6300"/>
            <w:tcBorders>
              <w:top w:val="single" w:color="000000" w:sz="4"/>
              <w:left w:val="single" w:color="000000" w:sz="4"/>
              <w:bottom w:val="single" w:color="000000" w:sz="4"/>
              <w:right w:val="single" w:color="000000" w:sz="4"/>
            </w:tcBorders>
            <w:tcMar>
              <w:top w:type="dxa" w:w="40"/>
              <w:left w:type="dxa" w:w="100"/>
              <w:bottom w:type="dxa" w:w="40"/>
              <w:right w:type="dxa" w:w="100"/>
            </w:tcMar>
          </w:tcPr>
          <w:p>
            <w:pPr>
              <w:spacing w:after="0"/>
            </w:pPr>
            <w:r>
              <w:rPr>
                <w:rFonts w:ascii="Calibri" w:cs="Calibri" w:eastAsia="Calibri" w:hAnsi="Calibri"/>
                <w:b w:val="false"/>
                <w:bCs w:val="false"/>
                <w:sz w:val="22"/>
                <w:szCs w:val="22"/>
              </w:rPr>
              <w:t xml:space="preserve">Publicarea anunțului în „Viața Medicală”</w:t>
            </w:r>
          </w:p>
        </w:tc>
        <w:tc>
          <w:tcPr>
            <w:tcW w:type="dxa" w:w="3060"/>
            <w:tcBorders>
              <w:top w:val="single" w:color="000000" w:sz="4"/>
              <w:left w:val="single" w:color="000000" w:sz="4"/>
              <w:bottom w:val="single" w:color="000000" w:sz="4"/>
              <w:right w:val="single" w:color="000000" w:sz="4"/>
            </w:tcBorders>
            <w:tcMar>
              <w:top w:type="dxa" w:w="40"/>
              <w:left w:type="dxa" w:w="100"/>
              <w:bottom w:type="dxa" w:w="40"/>
              <w:right w:type="dxa" w:w="100"/>
            </w:tcMar>
          </w:tcPr>
          <w:p>
            <w:pPr>
              <w:spacing w:after="0"/>
            </w:pPr>
            <w:r>
              <w:rPr>
                <w:rFonts w:ascii="Calibri" w:cs="Calibri" w:eastAsia="Calibri" w:hAnsi="Calibri"/>
                <w:b/>
                <w:bCs/>
                <w:sz w:val="22"/>
                <w:szCs w:val="22"/>
              </w:rPr>
              <w:t xml:space="preserve">09.10.2026</w:t>
            </w:r>
          </w:p>
        </w:tc>
      </w:tr>
      <w:tr>
        <w:tc>
          <w:tcPr>
            <w:tcW w:type="dxa" w:w="6300"/>
            <w:tcBorders>
              <w:top w:val="single" w:color="000000" w:sz="4"/>
              <w:left w:val="single" w:color="000000" w:sz="4"/>
              <w:bottom w:val="single" w:color="000000" w:sz="4"/>
              <w:right w:val="single" w:color="000000" w:sz="4"/>
            </w:tcBorders>
            <w:tcMar>
              <w:top w:type="dxa" w:w="40"/>
              <w:left w:type="dxa" w:w="100"/>
              <w:bottom w:type="dxa" w:w="40"/>
              <w:right w:type="dxa" w:w="100"/>
            </w:tcMar>
          </w:tcPr>
          <w:p>
            <w:pPr>
              <w:spacing w:after="0"/>
            </w:pPr>
            <w:r>
              <w:rPr>
                <w:rFonts w:ascii="Calibri" w:cs="Calibri" w:eastAsia="Calibri" w:hAnsi="Calibri"/>
                <w:b/>
                <w:bCs/>
                <w:sz w:val="22"/>
                <w:szCs w:val="22"/>
              </w:rPr>
              <w:t xml:space="preserve">Termen limită de depunere a dosarelor de către candidați</w:t>
            </w:r>
          </w:p>
        </w:tc>
        <w:tc>
          <w:tcPr>
            <w:tcW w:type="dxa" w:w="3060"/>
            <w:tcBorders>
              <w:top w:val="single" w:color="000000" w:sz="4"/>
              <w:left w:val="single" w:color="000000" w:sz="4"/>
              <w:bottom w:val="single" w:color="000000" w:sz="4"/>
              <w:right w:val="single" w:color="000000" w:sz="4"/>
            </w:tcBorders>
            <w:tcMar>
              <w:top w:type="dxa" w:w="40"/>
              <w:left w:type="dxa" w:w="100"/>
              <w:bottom w:type="dxa" w:w="40"/>
              <w:right w:type="dxa" w:w="100"/>
            </w:tcMar>
          </w:tcPr>
          <w:p>
            <w:pPr>
              <w:spacing w:after="0"/>
            </w:pPr>
            <w:r>
              <w:rPr>
                <w:rFonts w:ascii="Calibri" w:cs="Calibri" w:eastAsia="Calibri" w:hAnsi="Calibri"/>
                <w:b/>
                <w:bCs/>
                <w:sz w:val="22"/>
                <w:szCs w:val="22"/>
              </w:rPr>
              <w:t xml:space="preserve">19.10.2026, ora 15.00</w:t>
            </w:r>
          </w:p>
        </w:tc>
      </w:tr>
      <w:tr>
        <w:tc>
          <w:tcPr>
            <w:tcW w:type="dxa" w:w="6300"/>
            <w:tcBorders>
              <w:top w:val="single" w:color="000000" w:sz="4"/>
              <w:left w:val="single" w:color="000000" w:sz="4"/>
              <w:bottom w:val="single" w:color="000000" w:sz="4"/>
              <w:right w:val="single" w:color="000000" w:sz="4"/>
            </w:tcBorders>
            <w:tcMar>
              <w:top w:type="dxa" w:w="40"/>
              <w:left w:type="dxa" w:w="100"/>
              <w:bottom w:type="dxa" w:w="40"/>
              <w:right w:type="dxa" w:w="100"/>
            </w:tcMar>
          </w:tcPr>
          <w:p>
            <w:pPr>
              <w:spacing w:after="0"/>
            </w:pPr>
            <w:r>
              <w:rPr>
                <w:rFonts w:ascii="Calibri" w:cs="Calibri" w:eastAsia="Calibri" w:hAnsi="Calibri"/>
                <w:b w:val="false"/>
                <w:bCs w:val="false"/>
                <w:sz w:val="22"/>
                <w:szCs w:val="22"/>
              </w:rPr>
              <w:t xml:space="preserve">Data verificării dosarelor</w:t>
            </w:r>
          </w:p>
        </w:tc>
        <w:tc>
          <w:tcPr>
            <w:tcW w:type="dxa" w:w="3060"/>
            <w:tcBorders>
              <w:top w:val="single" w:color="000000" w:sz="4"/>
              <w:left w:val="single" w:color="000000" w:sz="4"/>
              <w:bottom w:val="single" w:color="000000" w:sz="4"/>
              <w:right w:val="single" w:color="000000" w:sz="4"/>
            </w:tcBorders>
            <w:tcMar>
              <w:top w:type="dxa" w:w="40"/>
              <w:left w:type="dxa" w:w="100"/>
              <w:bottom w:type="dxa" w:w="40"/>
              <w:right w:type="dxa" w:w="100"/>
            </w:tcMar>
          </w:tcPr>
          <w:p>
            <w:pPr>
              <w:spacing w:after="0"/>
            </w:pPr>
            <w:r>
              <w:rPr>
                <w:rFonts w:ascii="Calibri" w:cs="Calibri" w:eastAsia="Calibri" w:hAnsi="Calibri"/>
                <w:b/>
                <w:bCs/>
                <w:sz w:val="22"/>
                <w:szCs w:val="22"/>
              </w:rPr>
              <w:t xml:space="preserve">21.10.2026, ora 09.00</w:t>
            </w:r>
          </w:p>
        </w:tc>
      </w:tr>
      <w:tr>
        <w:tc>
          <w:tcPr>
            <w:tcW w:type="dxa" w:w="6300"/>
            <w:tcBorders>
              <w:top w:val="single" w:color="000000" w:sz="4"/>
              <w:left w:val="single" w:color="000000" w:sz="4"/>
              <w:bottom w:val="single" w:color="000000" w:sz="4"/>
              <w:right w:val="single" w:color="000000" w:sz="4"/>
            </w:tcBorders>
            <w:tcMar>
              <w:top w:type="dxa" w:w="40"/>
              <w:left w:type="dxa" w:w="100"/>
              <w:bottom w:type="dxa" w:w="40"/>
              <w:right w:type="dxa" w:w="100"/>
            </w:tcMar>
          </w:tcPr>
          <w:p>
            <w:pPr>
              <w:spacing w:after="0"/>
            </w:pPr>
            <w:r>
              <w:rPr>
                <w:rFonts w:ascii="Calibri" w:cs="Calibri" w:eastAsia="Calibri" w:hAnsi="Calibri"/>
                <w:b w:val="false"/>
                <w:bCs w:val="false"/>
                <w:sz w:val="22"/>
                <w:szCs w:val="22"/>
              </w:rPr>
              <w:t xml:space="preserve">Afișare rezultatul selecției dosar</w:t>
            </w:r>
          </w:p>
        </w:tc>
        <w:tc>
          <w:tcPr>
            <w:tcW w:type="dxa" w:w="3060"/>
            <w:tcBorders>
              <w:top w:val="single" w:color="000000" w:sz="4"/>
              <w:left w:val="single" w:color="000000" w:sz="4"/>
              <w:bottom w:val="single" w:color="000000" w:sz="4"/>
              <w:right w:val="single" w:color="000000" w:sz="4"/>
            </w:tcBorders>
            <w:tcMar>
              <w:top w:type="dxa" w:w="40"/>
              <w:left w:type="dxa" w:w="100"/>
              <w:bottom w:type="dxa" w:w="40"/>
              <w:right w:type="dxa" w:w="100"/>
            </w:tcMar>
          </w:tcPr>
          <w:p>
            <w:pPr>
              <w:spacing w:after="0"/>
            </w:pPr>
            <w:r>
              <w:rPr>
                <w:rFonts w:ascii="Calibri" w:cs="Calibri" w:eastAsia="Calibri" w:hAnsi="Calibri"/>
                <w:b/>
                <w:bCs/>
                <w:sz w:val="22"/>
                <w:szCs w:val="22"/>
              </w:rPr>
              <w:t xml:space="preserve">21.10.2026, ora 15.00</w:t>
            </w:r>
          </w:p>
        </w:tc>
      </w:tr>
      <w:tr>
        <w:tc>
          <w:tcPr>
            <w:tcW w:type="dxa" w:w="6300"/>
            <w:tcBorders>
              <w:top w:val="single" w:color="000000" w:sz="4"/>
              <w:left w:val="single" w:color="000000" w:sz="4"/>
              <w:bottom w:val="single" w:color="000000" w:sz="4"/>
              <w:right w:val="single" w:color="000000" w:sz="4"/>
            </w:tcBorders>
            <w:tcMar>
              <w:top w:type="dxa" w:w="40"/>
              <w:left w:type="dxa" w:w="100"/>
              <w:bottom w:type="dxa" w:w="40"/>
              <w:right w:type="dxa" w:w="100"/>
            </w:tcMar>
          </w:tcPr>
          <w:p>
            <w:pPr>
              <w:spacing w:after="0"/>
            </w:pPr>
            <w:r>
              <w:rPr>
                <w:rFonts w:ascii="Calibri" w:cs="Calibri" w:eastAsia="Calibri" w:hAnsi="Calibri"/>
                <w:b w:val="false"/>
                <w:bCs w:val="false"/>
                <w:sz w:val="22"/>
                <w:szCs w:val="22"/>
              </w:rPr>
              <w:t xml:space="preserve">Termen depunere contestație, se face la autoritatea în subordinea căreia se află spitalul</w:t>
            </w:r>
          </w:p>
        </w:tc>
        <w:tc>
          <w:tcPr>
            <w:tcW w:type="dxa" w:w="3060"/>
            <w:tcBorders>
              <w:top w:val="single" w:color="000000" w:sz="4"/>
              <w:left w:val="single" w:color="000000" w:sz="4"/>
              <w:bottom w:val="single" w:color="000000" w:sz="4"/>
              <w:right w:val="single" w:color="000000" w:sz="4"/>
            </w:tcBorders>
            <w:tcMar>
              <w:top w:type="dxa" w:w="40"/>
              <w:left w:type="dxa" w:w="100"/>
              <w:bottom w:type="dxa" w:w="40"/>
              <w:right w:type="dxa" w:w="100"/>
            </w:tcMar>
          </w:tcPr>
          <w:p>
            <w:pPr>
              <w:spacing w:after="0"/>
            </w:pPr>
            <w:r>
              <w:rPr>
                <w:rFonts w:ascii="Calibri" w:cs="Calibri" w:eastAsia="Calibri" w:hAnsi="Calibri"/>
                <w:b/>
                <w:bCs/>
                <w:sz w:val="22"/>
                <w:szCs w:val="22"/>
              </w:rPr>
              <w:t xml:space="preserve">22.10.2026, ora 15.00</w:t>
            </w:r>
          </w:p>
        </w:tc>
      </w:tr>
      <w:tr>
        <w:tc>
          <w:tcPr>
            <w:tcW w:type="dxa" w:w="6300"/>
            <w:tcBorders>
              <w:top w:val="single" w:color="000000" w:sz="4"/>
              <w:left w:val="single" w:color="000000" w:sz="4"/>
              <w:bottom w:val="single" w:color="000000" w:sz="4"/>
              <w:right w:val="single" w:color="000000" w:sz="4"/>
            </w:tcBorders>
            <w:tcMar>
              <w:top w:type="dxa" w:w="40"/>
              <w:left w:type="dxa" w:w="100"/>
              <w:bottom w:type="dxa" w:w="40"/>
              <w:right w:type="dxa" w:w="100"/>
            </w:tcMar>
          </w:tcPr>
          <w:p>
            <w:pPr>
              <w:spacing w:after="0"/>
            </w:pPr>
            <w:r>
              <w:rPr>
                <w:rFonts w:ascii="Calibri" w:cs="Calibri" w:eastAsia="Calibri" w:hAnsi="Calibri"/>
                <w:b w:val="false"/>
                <w:bCs w:val="false"/>
                <w:sz w:val="22"/>
                <w:szCs w:val="22"/>
              </w:rPr>
              <w:t xml:space="preserve">Răspuns la soluționarea contestațiilor privind verificarea dosarelor</w:t>
            </w:r>
          </w:p>
        </w:tc>
        <w:tc>
          <w:tcPr>
            <w:tcW w:type="dxa" w:w="3060"/>
            <w:tcBorders>
              <w:top w:val="single" w:color="000000" w:sz="4"/>
              <w:left w:val="single" w:color="000000" w:sz="4"/>
              <w:bottom w:val="single" w:color="000000" w:sz="4"/>
              <w:right w:val="single" w:color="000000" w:sz="4"/>
            </w:tcBorders>
            <w:tcMar>
              <w:top w:type="dxa" w:w="40"/>
              <w:left w:type="dxa" w:w="100"/>
              <w:bottom w:type="dxa" w:w="40"/>
              <w:right w:type="dxa" w:w="100"/>
            </w:tcMar>
          </w:tcPr>
          <w:p>
            <w:pPr>
              <w:spacing w:after="0"/>
            </w:pPr>
            <w:r>
              <w:rPr>
                <w:rFonts w:ascii="Calibri" w:cs="Calibri" w:eastAsia="Calibri" w:hAnsi="Calibri"/>
                <w:b/>
                <w:bCs/>
                <w:sz w:val="22"/>
                <w:szCs w:val="22"/>
              </w:rPr>
              <w:t xml:space="preserve">23.10.2026, ora 15.00</w:t>
            </w:r>
          </w:p>
        </w:tc>
      </w:tr>
    </w:tbl>
    <w:p>
      <w:pPr>
        <w:spacing w:after="0"/>
      </w:pPr>
      <w:r>
        <w:rPr>
          <w:rFonts w:ascii="Times New Roman" w:cs="Times New Roman" w:eastAsia="Times New Roman" w:hAnsi="Times New Roman"/>
          <w:sz w:val="24"/>
          <w:szCs w:val="24"/>
        </w:rPr>
        <w:t xml:space="preserve"/>
      </w:r>
    </w:p>
    <w:p>
      <w:pPr>
        <w:spacing w:after="0"/>
      </w:pPr>
      <w:r>
        <w:rPr>
          <w:rFonts w:ascii="Times New Roman" w:cs="Times New Roman" w:eastAsia="Times New Roman" w:hAnsi="Times New Roman"/>
          <w:sz w:val="24"/>
          <w:szCs w:val="24"/>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300"/>
        <w:gridCol w:w="3060"/>
      </w:tblGrid>
      <w:tr>
        <w:tc>
          <w:tcPr>
            <w:tcW w:type="dxa" w:w="9360"/>
            <w:gridSpan w:val="2"/>
            <w:tcBorders>
              <w:top w:val="single" w:color="000000" w:sz="4"/>
              <w:left w:val="single" w:color="000000" w:sz="4"/>
              <w:bottom w:val="single" w:color="000000" w:sz="4"/>
              <w:right w:val="single" w:color="000000" w:sz="4"/>
            </w:tcBorders>
            <w:tcMar>
              <w:top w:type="dxa" w:w="40"/>
              <w:left w:type="dxa" w:w="100"/>
              <w:bottom w:type="dxa" w:w="40"/>
              <w:right w:type="dxa" w:w="100"/>
            </w:tcMar>
          </w:tcPr>
          <w:p>
            <w:pPr>
              <w:spacing w:after="0"/>
              <w:jc w:val="center"/>
            </w:pPr>
            <w:r>
              <w:rPr>
                <w:rFonts w:ascii="Calibri" w:cs="Calibri" w:eastAsia="Calibri" w:hAnsi="Calibri"/>
                <w:b/>
                <w:bCs/>
                <w:sz w:val="22"/>
                <w:szCs w:val="22"/>
              </w:rPr>
              <w:t xml:space="preserve">Desfășurarea probelor de concurs</w:t>
            </w:r>
          </w:p>
          <w:p>
            <w:pPr>
              <w:spacing w:after="0"/>
              <w:jc w:val="center"/>
            </w:pPr>
            <w:r>
              <w:rPr>
                <w:rFonts w:ascii="Calibri" w:cs="Calibri" w:eastAsia="Calibri" w:hAnsi="Calibri"/>
                <w:b/>
                <w:bCs/>
                <w:sz w:val="22"/>
                <w:szCs w:val="22"/>
              </w:rPr>
              <w:t xml:space="preserve">I.   Laborator Anatomie Patologică</w:t>
            </w:r>
          </w:p>
        </w:tc>
      </w:tr>
      <w:tr>
        <w:tc>
          <w:tcPr>
            <w:tcW w:type="dxa" w:w="6300"/>
            <w:tcBorders>
              <w:top w:val="single" w:color="000000" w:sz="4"/>
              <w:left w:val="single" w:color="000000" w:sz="4"/>
              <w:bottom w:val="single" w:color="000000" w:sz="4"/>
              <w:right w:val="single" w:color="000000" w:sz="4"/>
            </w:tcBorders>
            <w:tcMar>
              <w:top w:type="dxa" w:w="40"/>
              <w:left w:type="dxa" w:w="100"/>
              <w:bottom w:type="dxa" w:w="40"/>
              <w:right w:type="dxa" w:w="100"/>
            </w:tcMar>
          </w:tcPr>
          <w:p>
            <w:pPr>
              <w:pStyle w:val="ListParagraph"/>
              <w:numPr>
                <w:ilvl w:val="0"/>
                <w:numId w:val="4"/>
              </w:numPr>
              <w:spacing w:after="0"/>
            </w:pPr>
            <w:r>
              <w:rPr>
                <w:rFonts w:ascii="Calibri" w:cs="Calibri" w:eastAsia="Calibri" w:hAnsi="Calibri"/>
                <w:b/>
                <w:bCs/>
                <w:sz w:val="22"/>
                <w:szCs w:val="22"/>
              </w:rPr>
              <w:t xml:space="preserve">Interviu susținerea proiectului de management</w:t>
            </w:r>
          </w:p>
        </w:tc>
        <w:tc>
          <w:tcPr>
            <w:tcW w:type="dxa" w:w="3060"/>
            <w:tcBorders>
              <w:top w:val="single" w:color="000000" w:sz="4"/>
              <w:left w:val="single" w:color="000000" w:sz="4"/>
              <w:bottom w:val="single" w:color="000000" w:sz="4"/>
              <w:right w:val="single" w:color="000000" w:sz="4"/>
            </w:tcBorders>
            <w:tcMar>
              <w:top w:type="dxa" w:w="40"/>
              <w:left w:type="dxa" w:w="100"/>
              <w:bottom w:type="dxa" w:w="40"/>
              <w:right w:type="dxa" w:w="100"/>
            </w:tcMar>
          </w:tcPr>
          <w:p>
            <w:pPr>
              <w:spacing w:after="0"/>
            </w:pPr>
            <w:r>
              <w:rPr>
                <w:rFonts w:ascii="Calibri" w:cs="Calibri" w:eastAsia="Calibri" w:hAnsi="Calibri"/>
                <w:b/>
                <w:bCs/>
                <w:sz w:val="22"/>
                <w:szCs w:val="22"/>
              </w:rPr>
              <w:t xml:space="preserve">10.11.2026, ora 09.00</w:t>
            </w:r>
          </w:p>
        </w:tc>
      </w:tr>
      <w:tr>
        <w:tc>
          <w:tcPr>
            <w:tcW w:type="dxa" w:w="6300"/>
            <w:tcBorders>
              <w:top w:val="single" w:color="000000" w:sz="4"/>
              <w:left w:val="single" w:color="000000" w:sz="4"/>
              <w:bottom w:val="single" w:color="000000" w:sz="4"/>
              <w:right w:val="single" w:color="000000" w:sz="4"/>
            </w:tcBorders>
            <w:tcMar>
              <w:top w:type="dxa" w:w="40"/>
              <w:left w:type="dxa" w:w="100"/>
              <w:bottom w:type="dxa" w:w="40"/>
              <w:right w:type="dxa" w:w="100"/>
            </w:tcMar>
          </w:tcPr>
          <w:p>
            <w:pPr>
              <w:pStyle w:val="ListParagraph"/>
              <w:numPr>
                <w:ilvl w:val="0"/>
                <w:numId w:val="4"/>
              </w:numPr>
              <w:spacing w:after="0"/>
            </w:pPr>
            <w:r>
              <w:rPr>
                <w:rFonts w:ascii="Calibri" w:cs="Calibri" w:eastAsia="Calibri" w:hAnsi="Calibri"/>
                <w:b/>
                <w:bCs/>
                <w:sz w:val="22"/>
                <w:szCs w:val="22"/>
              </w:rPr>
              <w:t xml:space="preserve">Proba scrisă</w:t>
            </w:r>
          </w:p>
        </w:tc>
        <w:tc>
          <w:tcPr>
            <w:tcW w:type="dxa" w:w="3060"/>
            <w:tcBorders>
              <w:top w:val="single" w:color="000000" w:sz="4"/>
              <w:left w:val="single" w:color="000000" w:sz="4"/>
              <w:bottom w:val="single" w:color="000000" w:sz="4"/>
              <w:right w:val="single" w:color="000000" w:sz="4"/>
            </w:tcBorders>
            <w:tcMar>
              <w:top w:type="dxa" w:w="40"/>
              <w:left w:type="dxa" w:w="100"/>
              <w:bottom w:type="dxa" w:w="40"/>
              <w:right w:type="dxa" w:w="100"/>
            </w:tcMar>
          </w:tcPr>
          <w:p>
            <w:pPr>
              <w:spacing w:after="0"/>
            </w:pPr>
            <w:r>
              <w:rPr>
                <w:rFonts w:ascii="Calibri" w:cs="Calibri" w:eastAsia="Calibri" w:hAnsi="Calibri"/>
                <w:b/>
                <w:bCs/>
                <w:sz w:val="22"/>
                <w:szCs w:val="22"/>
              </w:rPr>
              <w:t xml:space="preserve">10.11.2026, ora 10.00</w:t>
            </w:r>
          </w:p>
        </w:tc>
      </w:tr>
      <w:tr>
        <w:tc>
          <w:tcPr>
            <w:tcW w:type="dxa" w:w="6300"/>
            <w:tcBorders>
              <w:top w:val="single" w:color="000000" w:sz="4"/>
              <w:left w:val="single" w:color="000000" w:sz="4"/>
              <w:bottom w:val="single" w:color="000000" w:sz="4"/>
              <w:right w:val="single" w:color="000000" w:sz="4"/>
            </w:tcBorders>
            <w:tcMar>
              <w:top w:type="dxa" w:w="40"/>
              <w:left w:type="dxa" w:w="100"/>
              <w:bottom w:type="dxa" w:w="40"/>
              <w:right w:type="dxa" w:w="100"/>
            </w:tcMar>
          </w:tcPr>
          <w:p>
            <w:pPr>
              <w:pStyle w:val="ListParagraph"/>
              <w:numPr>
                <w:ilvl w:val="0"/>
                <w:numId w:val="4"/>
              </w:numPr>
              <w:spacing w:after="0"/>
            </w:pPr>
            <w:r>
              <w:rPr>
                <w:rFonts w:ascii="Calibri" w:cs="Calibri" w:eastAsia="Calibri" w:hAnsi="Calibri"/>
                <w:b/>
                <w:bCs/>
                <w:sz w:val="22"/>
                <w:szCs w:val="22"/>
              </w:rPr>
              <w:t xml:space="preserve">Proba clinică sau practică</w:t>
            </w:r>
          </w:p>
        </w:tc>
        <w:tc>
          <w:tcPr>
            <w:tcW w:type="dxa" w:w="3060"/>
            <w:tcBorders>
              <w:top w:val="single" w:color="000000" w:sz="4"/>
              <w:left w:val="single" w:color="000000" w:sz="4"/>
              <w:bottom w:val="single" w:color="000000" w:sz="4"/>
              <w:right w:val="single" w:color="000000" w:sz="4"/>
            </w:tcBorders>
            <w:tcMar>
              <w:top w:type="dxa" w:w="40"/>
              <w:left w:type="dxa" w:w="100"/>
              <w:bottom w:type="dxa" w:w="40"/>
              <w:right w:type="dxa" w:w="100"/>
            </w:tcMar>
          </w:tcPr>
          <w:p>
            <w:pPr>
              <w:spacing w:after="0"/>
            </w:pPr>
            <w:r>
              <w:rPr>
                <w:rFonts w:ascii="Calibri" w:cs="Calibri" w:eastAsia="Calibri" w:hAnsi="Calibri"/>
                <w:b/>
                <w:bCs/>
                <w:sz w:val="22"/>
                <w:szCs w:val="22"/>
              </w:rPr>
              <w:t xml:space="preserve">10.11.2026, ora 12.00</w:t>
            </w:r>
          </w:p>
        </w:tc>
      </w:tr>
      <w:tr>
        <w:tc>
          <w:tcPr>
            <w:tcW w:type="dxa" w:w="6300"/>
            <w:tcBorders>
              <w:top w:val="single" w:color="000000" w:sz="4"/>
              <w:left w:val="single" w:color="000000" w:sz="4"/>
              <w:bottom w:val="single" w:color="000000" w:sz="4"/>
              <w:right w:val="single" w:color="000000" w:sz="4"/>
            </w:tcBorders>
            <w:tcMar>
              <w:top w:type="dxa" w:w="40"/>
              <w:left w:type="dxa" w:w="100"/>
              <w:bottom w:type="dxa" w:w="40"/>
              <w:right w:type="dxa" w:w="100"/>
            </w:tcMar>
          </w:tcPr>
          <w:p>
            <w:pPr>
              <w:spacing w:after="0"/>
            </w:pPr>
            <w:r>
              <w:rPr>
                <w:rFonts w:ascii="Calibri" w:cs="Calibri" w:eastAsia="Calibri" w:hAnsi="Calibri"/>
                <w:b w:val="false"/>
                <w:bCs w:val="false"/>
                <w:sz w:val="22"/>
                <w:szCs w:val="22"/>
              </w:rPr>
              <w:t xml:space="preserve">Afișare rezultate</w:t>
            </w:r>
          </w:p>
        </w:tc>
        <w:tc>
          <w:tcPr>
            <w:tcW w:type="dxa" w:w="3060"/>
            <w:tcBorders>
              <w:top w:val="single" w:color="000000" w:sz="4"/>
              <w:left w:val="single" w:color="000000" w:sz="4"/>
              <w:bottom w:val="single" w:color="000000" w:sz="4"/>
              <w:right w:val="single" w:color="000000" w:sz="4"/>
            </w:tcBorders>
            <w:tcMar>
              <w:top w:type="dxa" w:w="40"/>
              <w:left w:type="dxa" w:w="100"/>
              <w:bottom w:type="dxa" w:w="40"/>
              <w:right w:type="dxa" w:w="100"/>
            </w:tcMar>
          </w:tcPr>
          <w:p>
            <w:pPr>
              <w:spacing w:after="0"/>
            </w:pPr>
            <w:r>
              <w:rPr>
                <w:rFonts w:ascii="Calibri" w:cs="Calibri" w:eastAsia="Calibri" w:hAnsi="Calibri"/>
                <w:b/>
                <w:bCs/>
                <w:sz w:val="22"/>
                <w:szCs w:val="22"/>
              </w:rPr>
              <w:t xml:space="preserve">11.11.2026, ora 15.00</w:t>
            </w:r>
          </w:p>
        </w:tc>
      </w:tr>
      <w:tr>
        <w:tc>
          <w:tcPr>
            <w:tcW w:type="dxa" w:w="6300"/>
            <w:tcBorders>
              <w:top w:val="single" w:color="000000" w:sz="4"/>
              <w:left w:val="single" w:color="000000" w:sz="4"/>
              <w:bottom w:val="single" w:color="000000" w:sz="4"/>
              <w:right w:val="single" w:color="000000" w:sz="4"/>
            </w:tcBorders>
            <w:tcMar>
              <w:top w:type="dxa" w:w="40"/>
              <w:left w:type="dxa" w:w="100"/>
              <w:bottom w:type="dxa" w:w="40"/>
              <w:right w:type="dxa" w:w="100"/>
            </w:tcMar>
          </w:tcPr>
          <w:p>
            <w:pPr>
              <w:spacing w:after="0"/>
            </w:pPr>
            <w:r>
              <w:rPr>
                <w:rFonts w:ascii="Calibri" w:cs="Calibri" w:eastAsia="Calibri" w:hAnsi="Calibri"/>
                <w:b w:val="false"/>
                <w:bCs w:val="false"/>
                <w:sz w:val="22"/>
                <w:szCs w:val="22"/>
              </w:rPr>
              <w:t xml:space="preserve">Depunerea contestațiilor cu privire la rezultatele probelor</w:t>
            </w:r>
          </w:p>
        </w:tc>
        <w:tc>
          <w:tcPr>
            <w:tcW w:type="dxa" w:w="3060"/>
            <w:tcBorders>
              <w:top w:val="single" w:color="000000" w:sz="4"/>
              <w:left w:val="single" w:color="000000" w:sz="4"/>
              <w:bottom w:val="single" w:color="000000" w:sz="4"/>
              <w:right w:val="single" w:color="000000" w:sz="4"/>
            </w:tcBorders>
            <w:tcMar>
              <w:top w:type="dxa" w:w="40"/>
              <w:left w:type="dxa" w:w="100"/>
              <w:bottom w:type="dxa" w:w="40"/>
              <w:right w:type="dxa" w:w="100"/>
            </w:tcMar>
          </w:tcPr>
          <w:p>
            <w:pPr>
              <w:spacing w:after="0"/>
            </w:pPr>
            <w:r>
              <w:rPr>
                <w:rFonts w:ascii="Calibri" w:cs="Calibri" w:eastAsia="Calibri" w:hAnsi="Calibri"/>
                <w:b/>
                <w:bCs/>
                <w:sz w:val="22"/>
                <w:szCs w:val="22"/>
              </w:rPr>
              <w:t xml:space="preserve">12.11.2026, ora 15.00</w:t>
            </w:r>
          </w:p>
        </w:tc>
      </w:tr>
      <w:tr>
        <w:tc>
          <w:tcPr>
            <w:tcW w:type="dxa" w:w="6300"/>
            <w:tcBorders>
              <w:top w:val="single" w:color="000000" w:sz="4"/>
              <w:left w:val="single" w:color="000000" w:sz="4"/>
              <w:bottom w:val="single" w:color="000000" w:sz="4"/>
              <w:right w:val="single" w:color="000000" w:sz="4"/>
            </w:tcBorders>
            <w:tcMar>
              <w:top w:type="dxa" w:w="40"/>
              <w:left w:type="dxa" w:w="100"/>
              <w:bottom w:type="dxa" w:w="40"/>
              <w:right w:type="dxa" w:w="100"/>
            </w:tcMar>
          </w:tcPr>
          <w:p>
            <w:pPr>
              <w:spacing w:after="0"/>
            </w:pPr>
            <w:r>
              <w:rPr>
                <w:rFonts w:ascii="Calibri" w:cs="Calibri" w:eastAsia="Calibri" w:hAnsi="Calibri"/>
                <w:b w:val="false"/>
                <w:bCs w:val="false"/>
                <w:sz w:val="22"/>
                <w:szCs w:val="22"/>
              </w:rPr>
              <w:t xml:space="preserve">Rezultatul soluționării contestațiilor cu privire la rezultatele probelor</w:t>
            </w:r>
          </w:p>
        </w:tc>
        <w:tc>
          <w:tcPr>
            <w:tcW w:type="dxa" w:w="3060"/>
            <w:tcBorders>
              <w:top w:val="single" w:color="000000" w:sz="4"/>
              <w:left w:val="single" w:color="000000" w:sz="4"/>
              <w:bottom w:val="single" w:color="000000" w:sz="4"/>
              <w:right w:val="single" w:color="000000" w:sz="4"/>
            </w:tcBorders>
            <w:tcMar>
              <w:top w:type="dxa" w:w="40"/>
              <w:left w:type="dxa" w:w="100"/>
              <w:bottom w:type="dxa" w:w="40"/>
              <w:right w:type="dxa" w:w="100"/>
            </w:tcMar>
          </w:tcPr>
          <w:p>
            <w:pPr>
              <w:spacing w:after="0"/>
            </w:pPr>
            <w:r>
              <w:rPr>
                <w:rFonts w:ascii="Calibri" w:cs="Calibri" w:eastAsia="Calibri" w:hAnsi="Calibri"/>
                <w:b/>
                <w:bCs/>
                <w:sz w:val="22"/>
                <w:szCs w:val="22"/>
              </w:rPr>
              <w:t xml:space="preserve">13.11.2026, ora 15.00</w:t>
            </w:r>
          </w:p>
        </w:tc>
      </w:tr>
      <w:tr>
        <w:tc>
          <w:tcPr>
            <w:tcW w:type="dxa" w:w="6300"/>
            <w:tcBorders>
              <w:top w:val="single" w:color="000000" w:sz="4"/>
              <w:left w:val="single" w:color="000000" w:sz="4"/>
              <w:bottom w:val="single" w:color="000000" w:sz="4"/>
              <w:right w:val="single" w:color="000000" w:sz="4"/>
            </w:tcBorders>
            <w:tcMar>
              <w:top w:type="dxa" w:w="40"/>
              <w:left w:type="dxa" w:w="100"/>
              <w:bottom w:type="dxa" w:w="40"/>
              <w:right w:type="dxa" w:w="100"/>
            </w:tcMar>
          </w:tcPr>
          <w:p>
            <w:pPr>
              <w:spacing w:after="0"/>
            </w:pPr>
            <w:r>
              <w:rPr>
                <w:rFonts w:ascii="Calibri" w:cs="Calibri" w:eastAsia="Calibri" w:hAnsi="Calibri"/>
                <w:b/>
                <w:bCs/>
                <w:sz w:val="22"/>
                <w:szCs w:val="22"/>
              </w:rPr>
              <w:t xml:space="preserve">Comunicare rezultat final</w:t>
            </w:r>
          </w:p>
        </w:tc>
        <w:tc>
          <w:tcPr>
            <w:tcW w:type="dxa" w:w="3060"/>
            <w:tcBorders>
              <w:top w:val="single" w:color="000000" w:sz="4"/>
              <w:left w:val="single" w:color="000000" w:sz="4"/>
              <w:bottom w:val="single" w:color="000000" w:sz="4"/>
              <w:right w:val="single" w:color="000000" w:sz="4"/>
            </w:tcBorders>
            <w:tcMar>
              <w:top w:type="dxa" w:w="40"/>
              <w:left w:type="dxa" w:w="100"/>
              <w:bottom w:type="dxa" w:w="40"/>
              <w:right w:type="dxa" w:w="100"/>
            </w:tcMar>
          </w:tcPr>
          <w:p>
            <w:pPr>
              <w:spacing w:after="0"/>
            </w:pPr>
            <w:r>
              <w:rPr>
                <w:rFonts w:ascii="Calibri" w:cs="Calibri" w:eastAsia="Calibri" w:hAnsi="Calibri"/>
                <w:b/>
                <w:bCs/>
                <w:sz w:val="22"/>
                <w:szCs w:val="22"/>
              </w:rPr>
              <w:t xml:space="preserve">16.11.2026, ora 15.00</w:t>
            </w:r>
          </w:p>
        </w:tc>
      </w:tr>
    </w:tbl>
    <w:p>
      <w:pPr>
        <w:spacing w:after="0"/>
      </w:pPr>
      <w:r>
        <w:rPr>
          <w:rFonts w:ascii="Times New Roman" w:cs="Times New Roman" w:eastAsia="Times New Roman" w:hAnsi="Times New Roman"/>
          <w:sz w:val="24"/>
          <w:szCs w:val="24"/>
        </w:rPr>
        <w:t xml:space="preserve"/>
      </w:r>
    </w:p>
    <w:p>
      <w:pPr>
        <w:spacing w:after="0"/>
      </w:pPr>
      <w:r>
        <w:rPr>
          <w:rFonts w:ascii="Times New Roman" w:cs="Times New Roman" w:eastAsia="Times New Roman" w:hAnsi="Times New Roman"/>
          <w:sz w:val="24"/>
          <w:szCs w:val="24"/>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none" w:color="FFFFFF" w:sz="0"/>
              <w:left w:val="none" w:color="FFFFFF" w:sz="0"/>
              <w:bottom w:val="none" w:color="FFFFFF" w:sz="0"/>
              <w:right w:val="none" w:color="FFFFFF" w:sz="0"/>
            </w:tcBorders>
          </w:tcPr>
          <w:p>
            <w:pPr>
              <w:spacing w:after="0"/>
            </w:pPr>
            <w:r>
              <w:rPr>
                <w:rFonts w:ascii="Times New Roman" w:cs="Times New Roman" w:eastAsia="Times New Roman" w:hAnsi="Times New Roman"/>
                <w:b w:val="false"/>
                <w:bCs w:val="false"/>
                <w:sz w:val="24"/>
                <w:szCs w:val="24"/>
              </w:rPr>
              <w:t xml:space="preserve"/>
            </w:r>
          </w:p>
        </w:tc>
        <w:tc>
          <w:tcPr>
            <w:tcW w:type="dxa" w:w="4680"/>
            <w:tcBorders>
              <w:top w:val="none" w:color="FFFFFF" w:sz="0"/>
              <w:left w:val="none" w:color="FFFFFF" w:sz="0"/>
              <w:bottom w:val="none" w:color="FFFFFF" w:sz="0"/>
              <w:right w:val="none" w:color="FFFFFF" w:sz="0"/>
            </w:tcBorders>
          </w:tcPr>
          <w:p>
            <w:pPr>
              <w:spacing w:after="0"/>
            </w:pPr>
            <w:r>
              <w:rPr>
                <w:rFonts w:ascii="Times New Roman" w:cs="Times New Roman" w:eastAsia="Times New Roman" w:hAnsi="Times New Roman"/>
                <w:b/>
                <w:bCs/>
                <w:sz w:val="24"/>
                <w:szCs w:val="24"/>
              </w:rPr>
              <w:t xml:space="preserve">Întocmit de Șef serviciu RUNOS-IT,</w:t>
            </w:r>
          </w:p>
          <w:p>
            <w:pPr>
              <w:spacing w:after="0"/>
            </w:pPr>
            <w:r>
              <w:rPr>
                <w:rFonts w:ascii="Times New Roman" w:cs="Times New Roman" w:eastAsia="Times New Roman" w:hAnsi="Times New Roman"/>
                <w:b/>
                <w:bCs/>
                <w:sz w:val="24"/>
                <w:szCs w:val="24"/>
              </w:rPr>
              <w:t xml:space="preserve">Lukács Zoltán</w:t>
            </w:r>
          </w:p>
          <w:p>
            <w:pPr>
              <w:spacing w:after="0"/>
            </w:pPr>
            <w:r>
              <w:rPr>
                <w:rFonts w:ascii="Times New Roman" w:cs="Times New Roman" w:eastAsia="Times New Roman" w:hAnsi="Times New Roman"/>
                <w:b w:val="false"/>
                <w:bCs w:val="false"/>
                <w:sz w:val="24"/>
                <w:szCs w:val="24"/>
              </w:rPr>
              <w:t xml:space="preserve"/>
            </w:r>
          </w:p>
          <w:p>
            <w:pPr>
              <w:spacing w:after="0"/>
            </w:pPr>
            <w:r>
              <w:rPr>
                <w:rFonts w:ascii="Times New Roman" w:cs="Times New Roman" w:eastAsia="Times New Roman" w:hAnsi="Times New Roman"/>
                <w:b w:val="false"/>
                <w:bCs w:val="false"/>
                <w:sz w:val="24"/>
                <w:szCs w:val="24"/>
              </w:rPr>
              <w:t xml:space="preserve"/>
            </w:r>
          </w:p>
        </w:tc>
      </w:tr>
      <w:tr>
        <w:tc>
          <w:tcPr>
            <w:tcW w:type="dxa" w:w="4680"/>
            <w:tcBorders>
              <w:top w:val="none" w:color="FFFFFF" w:sz="0"/>
              <w:left w:val="none" w:color="FFFFFF" w:sz="0"/>
              <w:bottom w:val="none" w:color="FFFFFF" w:sz="0"/>
              <w:right w:val="none" w:color="FFFFFF" w:sz="0"/>
            </w:tcBorders>
          </w:tcPr>
          <w:p>
            <w:pPr>
              <w:spacing w:after="0"/>
            </w:pPr>
            <w:r>
              <w:rPr>
                <w:rFonts w:ascii="Times New Roman" w:cs="Times New Roman" w:eastAsia="Times New Roman" w:hAnsi="Times New Roman"/>
                <w:b/>
                <w:bCs/>
                <w:sz w:val="24"/>
                <w:szCs w:val="24"/>
              </w:rPr>
              <w:t xml:space="preserve">Manager,</w:t>
            </w:r>
          </w:p>
          <w:p>
            <w:pPr>
              <w:spacing w:after="0"/>
            </w:pPr>
            <w:r>
              <w:rPr>
                <w:rFonts w:ascii="Times New Roman" w:cs="Times New Roman" w:eastAsia="Times New Roman" w:hAnsi="Times New Roman"/>
                <w:b/>
                <w:bCs/>
                <w:sz w:val="24"/>
                <w:szCs w:val="24"/>
              </w:rPr>
              <w:t xml:space="preserve">Komoróczy Zsolt</w:t>
            </w:r>
          </w:p>
        </w:tc>
        <w:tc>
          <w:tcPr>
            <w:tcW w:type="dxa" w:w="4680"/>
            <w:tcBorders>
              <w:top w:val="none" w:color="FFFFFF" w:sz="0"/>
              <w:left w:val="none" w:color="FFFFFF" w:sz="0"/>
              <w:bottom w:val="none" w:color="FFFFFF" w:sz="0"/>
              <w:right w:val="none" w:color="FFFFFF" w:sz="0"/>
            </w:tcBorders>
          </w:tcPr>
          <w:p>
            <w:pPr>
              <w:spacing w:after="0"/>
            </w:pPr>
            <w:r>
              <w:rPr>
                <w:rFonts w:ascii="Times New Roman" w:cs="Times New Roman" w:eastAsia="Times New Roman" w:hAnsi="Times New Roman"/>
                <w:b/>
                <w:bCs/>
                <w:sz w:val="24"/>
                <w:szCs w:val="24"/>
              </w:rPr>
              <w:t xml:space="preserve">Director Medical,</w:t>
            </w:r>
          </w:p>
          <w:p>
            <w:pPr>
              <w:spacing w:after="0"/>
            </w:pPr>
            <w:r>
              <w:rPr>
                <w:rFonts w:ascii="Times New Roman" w:cs="Times New Roman" w:eastAsia="Times New Roman" w:hAnsi="Times New Roman"/>
                <w:b/>
                <w:bCs/>
                <w:sz w:val="24"/>
                <w:szCs w:val="24"/>
              </w:rPr>
              <w:t xml:space="preserve">Dr. Lőrincz Gabriella</w:t>
            </w:r>
          </w:p>
        </w:tc>
      </w:tr>
    </w:tbl>
    <w:sectPr>
      <w:headerReference w:type="default" r:id="rId7"/>
      <w:footerReference w:type="default" r:id="rId8"/>
      <w:pgSz w:w="11906" w:h="16838" w:orient="portrait"/>
      <w:pgMar w:top="1900" w:right="1100" w:bottom="1200" w:left="1300" w:header="400" w:footer="5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Calibri" w:cs="Calibri" w:eastAsia="Calibri" w:hAnsi="Calibri"/>
        <w:sz w:val="22"/>
        <w:szCs w:val="22"/>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center"/>
    </w:pPr>
    <w:r>
      <w:drawing>
        <wp:inline distT="0" distB="0" distL="0" distR="0">
          <wp:extent cx="6096000" cy="685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6096000" cy="68580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900" w:hanging="200"/>
      </w:pPr>
    </w:lvl>
  </w:abstractNum>
  <w:abstractNum w:abstractNumId="3" w15:restartNumberingAfterBreak="0">
    <w:multiLevelType w:val="hybridMultilevel"/>
    <w:lvl w:ilvl="0" w15:tentative="1">
      <w:start w:val="1"/>
      <w:numFmt w:val="bullet"/>
      <w:lvlText w:val="➢"/>
      <w:lvlJc w:val="left"/>
      <w:pPr>
        <w:ind w:left="720" w:hanging="360"/>
      </w:pPr>
    </w:lvl>
  </w:abstractNum>
  <w:abstractNum w:abstractNumId="4" w15:restartNumberingAfterBreak="0">
    <w:multiLevelType w:val="hybridMultilevel"/>
    <w:lvl w:ilvl="0" w15:tentative="1">
      <w:start w:val="1"/>
      <w:numFmt w:val="bullet"/>
      <w:lvlText w:val="•"/>
      <w:lvlJc w:val="left"/>
      <w:pPr>
        <w:ind w:left="360" w:hanging="24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 w:numId="4">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613f5740b2ac282422fbfdacd4a35b4541b1b6e7.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2026-10-08T10:40:10.072Z</dcterms:created>
  <dcterms:modified xsi:type="dcterms:W3CDTF">2026-10-08T10:40:10.084Z</dcterms:modified>
</cp:coreProperties>
</file>

<file path=docProps/custom.xml><?xml version="1.0" encoding="utf-8"?>
<Properties xmlns="http://schemas.openxmlformats.org/officeDocument/2006/custom-properties" xmlns:vt="http://schemas.openxmlformats.org/officeDocument/2006/docPropsVTypes"/>
</file>