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r/>
    </w:p>
    <w:p>
      <w:pPr>
        <w:pBdr/>
        <w:spacing w:after="0" w:line="240" w:lineRule="auto"/>
        <w:ind/>
        <w:jc w:val="center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</w:rPr>
        <w:t xml:space="preserve">ROM</w:t>
      </w:r>
      <w:r>
        <w:rPr>
          <w:rFonts w:ascii="Cambria" w:hAnsi="Cambria"/>
          <w:sz w:val="24"/>
          <w:szCs w:val="24"/>
          <w:lang w:val="ro-RO"/>
        </w:rPr>
        <w:t xml:space="preserve">ÂNIA, JUDEȚUL HARGHITA – HARGITA MEGYE, ROM</w:t>
      </w:r>
      <w:r>
        <w:rPr>
          <w:rFonts w:ascii="Cambria" w:hAnsi="Cambria"/>
          <w:sz w:val="24"/>
          <w:szCs w:val="24"/>
          <w:lang w:val="hu-HU"/>
        </w:rPr>
        <w:t xml:space="preserve">ÁNIA</w:t>
      </w:r>
      <w:r>
        <w:rPr>
          <w:rFonts w:ascii="Cambria" w:hAnsi="Cambria"/>
          <w:sz w:val="24"/>
          <w:szCs w:val="24"/>
          <w:lang w:val="ro-RO"/>
        </w:rPr>
      </w:r>
    </w:p>
    <w:p>
      <w:pPr>
        <w:pBdr/>
        <w:spacing w:after="120" w:line="240" w:lineRule="auto"/>
        <w:ind/>
        <w:jc w:val="center"/>
        <w:rPr>
          <w:rFonts w:ascii="Cambria" w:hAnsi="Cambria"/>
          <w:b/>
          <w:sz w:val="26"/>
          <w:szCs w:val="26"/>
          <w:lang w:val="hu-HU"/>
        </w:rPr>
      </w:pPr>
      <w:r>
        <w:rPr>
          <w:rFonts w:ascii="Cambria" w:hAnsi="Cambria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-68579</wp:posOffset>
                </wp:positionH>
                <wp:positionV relativeFrom="paragraph">
                  <wp:posOffset>218440</wp:posOffset>
                </wp:positionV>
                <wp:extent cx="6331585" cy="0"/>
                <wp:effectExtent l="10795" t="5080" r="28575" b="26670"/>
                <wp:wrapNone/>
                <wp:docPr id="1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-68579" y="218440"/>
                          <a:ext cx="6331585" cy="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</a:gdLst>
                          <a:ahLst/>
                          <a:cxnLst/>
                          <a:rect l="0" t="0" r="r" b="b"/>
                          <a:pathLst>
                            <a:path w="21600" h="216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z-index:251658240;o:allowoverlap:true;o:allowincell:true;mso-position-horizontal-relative:text;margin-left:-5.40pt;mso-position-horizontal:absolute;mso-position-vertical-relative:text;margin-top:17.20pt;mso-position-vertical:absolute;width:498.55pt;height:0.00pt;mso-wrap-distance-left:9.00pt;mso-wrap-distance-top:0.00pt;mso-wrap-distance-right:9.00pt;mso-wrap-distance-bottom:0.00pt;visibility:visible;" path="m0,0l100000,100000e" coordsize="100000,100000" filled="f" strokecolor="#000000" strokeweight="1.00pt">
                <v:path textboxrect="0,0,0,0"/>
              </v:shape>
            </w:pict>
          </mc:Fallback>
        </mc:AlternateContent>
      </w:r>
      <w:r>
        <w:rPr>
          <w:rFonts w:ascii="Cambria" w:hAnsi="Cambria"/>
          <w:b/>
          <w:sz w:val="26"/>
          <w:szCs w:val="26"/>
        </w:rPr>
        <w:t xml:space="preserve">COMUNA S</w:t>
      </w:r>
      <w:r>
        <w:rPr>
          <w:rFonts w:ascii="Cambria" w:hAnsi="Cambria"/>
          <w:b/>
          <w:sz w:val="26"/>
          <w:szCs w:val="26"/>
          <w:lang w:val="ro-RO"/>
        </w:rPr>
        <w:t xml:space="preserve">ÂNTIMBRU – CS</w:t>
      </w:r>
      <w:r>
        <w:rPr>
          <w:rFonts w:ascii="Cambria" w:hAnsi="Cambria"/>
          <w:b/>
          <w:sz w:val="26"/>
          <w:szCs w:val="26"/>
          <w:lang w:val="hu-HU"/>
        </w:rPr>
        <w:t xml:space="preserve">ÍKSZENTIMRE KÖZSÉG ÖNKORMÁNYZATA</w:t>
      </w:r>
      <w:r>
        <w:rPr>
          <w:rFonts w:ascii="Cambria" w:hAnsi="Cambria"/>
          <w:b/>
          <w:sz w:val="26"/>
          <w:szCs w:val="26"/>
          <w:lang w:val="hu-HU"/>
        </w:rPr>
      </w:r>
    </w:p>
    <w:p>
      <w:pPr>
        <w:pBdr/>
        <w:spacing w:after="0" w:line="240" w:lineRule="auto"/>
        <w:ind/>
        <w:jc w:val="center"/>
        <w:rPr>
          <w:rFonts w:ascii="Cambria" w:hAnsi="Cambria"/>
          <w:sz w:val="24"/>
          <w:szCs w:val="24"/>
          <w:lang w:val="hu-HU"/>
        </w:rPr>
      </w:pPr>
      <w:r>
        <w:rPr>
          <w:rFonts w:ascii="Cambria" w:hAnsi="Cambria"/>
          <w:sz w:val="24"/>
          <w:szCs w:val="24"/>
          <w:lang w:val="hu-HU"/>
        </w:rPr>
        <w:t xml:space="preserve">Adresa / Cím: S</w:t>
      </w:r>
      <w:r>
        <w:rPr>
          <w:rFonts w:ascii="Cambria" w:hAnsi="Cambria"/>
          <w:sz w:val="24"/>
          <w:szCs w:val="24"/>
          <w:lang w:val="ro-RO"/>
        </w:rPr>
        <w:t xml:space="preserve">ântimbru, cod: 537271, nr. 588 / Cs</w:t>
      </w:r>
      <w:r>
        <w:rPr>
          <w:rFonts w:ascii="Cambria" w:hAnsi="Cambria"/>
          <w:sz w:val="24"/>
          <w:szCs w:val="24"/>
          <w:lang w:val="hu-HU"/>
        </w:rPr>
        <w:t xml:space="preserve">íkszentimre, 537271, 588. szám</w:t>
      </w:r>
      <w:r>
        <w:rPr>
          <w:rFonts w:ascii="Cambria" w:hAnsi="Cambria"/>
          <w:sz w:val="24"/>
          <w:szCs w:val="24"/>
          <w:lang w:val="hu-HU"/>
        </w:rPr>
      </w:r>
    </w:p>
    <w:p>
      <w:pPr>
        <w:pBdr/>
        <w:spacing w:after="0" w:line="240" w:lineRule="auto"/>
        <w:ind/>
        <w:jc w:val="center"/>
        <w:rPr>
          <w:rFonts w:ascii="Cambria" w:hAnsi="Cambria"/>
          <w:sz w:val="24"/>
          <w:szCs w:val="24"/>
          <w:lang w:val="hu-HU"/>
        </w:rPr>
      </w:pPr>
      <w:r>
        <w:rPr>
          <w:rFonts w:ascii="Cambria" w:hAnsi="Cambria"/>
          <w:sz w:val="24"/>
          <w:szCs w:val="24"/>
          <w:lang w:val="hu-HU"/>
        </w:rPr>
        <w:t xml:space="preserve">Telefon: 0266-347098, Fax: 0266-347098</w:t>
      </w:r>
      <w:r>
        <w:rPr>
          <w:rFonts w:ascii="Cambria" w:hAnsi="Cambria"/>
          <w:sz w:val="24"/>
          <w:szCs w:val="24"/>
          <w:lang w:val="hu-HU"/>
        </w:rPr>
      </w:r>
    </w:p>
    <w:p>
      <w:pPr>
        <w:pBdr/>
        <w:spacing w:after="0" w:line="240" w:lineRule="auto"/>
        <w:ind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hu-HU"/>
        </w:rPr>
        <w:t xml:space="preserve">e-mail: </w:t>
      </w:r>
      <w:hyperlink r:id="rId9" w:tooltip="mailto:office@csikszentimre.ro" w:history="1">
        <w:r>
          <w:rPr>
            <w:rStyle w:val="677"/>
            <w:rFonts w:ascii="Cambria" w:hAnsi="Cambria"/>
            <w:sz w:val="24"/>
            <w:szCs w:val="24"/>
            <w:lang w:val="hu-HU"/>
          </w:rPr>
          <w:t xml:space="preserve">office</w:t>
        </w:r>
        <w:r>
          <w:rPr>
            <w:rStyle w:val="677"/>
            <w:rFonts w:ascii="Cambria" w:hAnsi="Cambria"/>
            <w:sz w:val="24"/>
            <w:szCs w:val="24"/>
          </w:rPr>
          <w:t xml:space="preserve">@csikszentimre.ro</w:t>
        </w:r>
      </w:hyperlink>
      <w:r>
        <w:rPr>
          <w:rFonts w:ascii="Cambria" w:hAnsi="Cambria"/>
          <w:sz w:val="24"/>
          <w:szCs w:val="24"/>
        </w:rPr>
        <w:t xml:space="preserve">, </w:t>
      </w:r>
      <w:hyperlink r:id="rId10" w:tooltip="mailto:primaria@santimbru.ro" w:history="1">
        <w:r>
          <w:rPr>
            <w:rStyle w:val="677"/>
            <w:rFonts w:ascii="Cambria" w:hAnsi="Cambria"/>
            <w:sz w:val="24"/>
            <w:szCs w:val="24"/>
          </w:rPr>
          <w:t xml:space="preserve">primaria@santimbru.ro</w:t>
        </w:r>
      </w:hyperlink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</w:r>
    </w:p>
    <w:p>
      <w:pPr>
        <w:pBdr/>
        <w:spacing/>
        <w:ind/>
        <w:rPr/>
      </w:pPr>
      <w:r>
        <w:rPr>
          <w:rFonts w:ascii="Cambria" w:hAnsi="Cambria"/>
          <w:sz w:val="24"/>
          <w:szCs w:val="24"/>
        </w:rPr>
        <w:t xml:space="preserve">                                           </w:t>
      </w:r>
      <w:r>
        <w:rPr>
          <w:rFonts w:ascii="Cambria" w:hAnsi="Cambria"/>
          <w:sz w:val="24"/>
          <w:szCs w:val="24"/>
        </w:rPr>
        <w:t xml:space="preserve">web: </w:t>
      </w:r>
      <w:hyperlink r:id="rId11" w:tooltip="http://www.santimbru.ro" w:history="1">
        <w:r>
          <w:rPr>
            <w:rStyle w:val="677"/>
            <w:rFonts w:ascii="Cambria" w:hAnsi="Cambria"/>
            <w:sz w:val="24"/>
            <w:szCs w:val="24"/>
          </w:rPr>
          <w:t xml:space="preserve">www.santimbru.ro</w:t>
        </w:r>
      </w:hyperlink>
      <w:r>
        <w:rPr>
          <w:rFonts w:ascii="Cambria" w:hAnsi="Cambria"/>
          <w:sz w:val="24"/>
          <w:szCs w:val="24"/>
        </w:rPr>
        <w:t xml:space="preserve">, </w:t>
      </w:r>
      <w:hyperlink r:id="rId12" w:tooltip="http://www.csikszentimre.ro" w:history="1">
        <w:r>
          <w:rPr>
            <w:rStyle w:val="677"/>
            <w:rFonts w:ascii="Cambria" w:hAnsi="Cambria"/>
            <w:sz w:val="24"/>
            <w:szCs w:val="24"/>
          </w:rPr>
          <w:t xml:space="preserve">www.csikszentimre.ro</w:t>
        </w:r>
      </w:hyperlink>
      <w:r/>
      <w:r/>
    </w:p>
    <w:p>
      <w:pPr>
        <w:pBdr/>
        <w:tabs>
          <w:tab w:val="left" w:leader="none" w:pos="1110"/>
        </w:tabs>
        <w:spacing/>
        <w:ind/>
        <w:rPr/>
      </w:pPr>
      <w:r>
        <w:t xml:space="preserve">Nr.  </w:t>
      </w:r>
      <w:r>
        <w:t xml:space="preserve">1855/08.09.2026</w:t>
      </w:r>
      <w:r/>
    </w:p>
    <w:p>
      <w:pPr>
        <w:pBdr/>
        <w:tabs>
          <w:tab w:val="left" w:leader="none" w:pos="1110"/>
        </w:tabs>
        <w:spacing/>
        <w:ind/>
        <w:rPr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SE  APROBĂ</w:t>
      </w:r>
      <w:r/>
    </w:p>
    <w:p>
      <w:pPr>
        <w:pBdr/>
        <w:tabs>
          <w:tab w:val="left" w:leader="none" w:pos="1110"/>
        </w:tabs>
        <w:spacing/>
        <w:ind/>
        <w:rPr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PRIMAR</w:t>
      </w:r>
      <w:r/>
    </w:p>
    <w:p>
      <w:pPr>
        <w:pBdr/>
        <w:tabs>
          <w:tab w:val="left" w:leader="none" w:pos="1110"/>
        </w:tabs>
        <w:spacing/>
        <w:ind/>
        <w:rPr>
          <w:lang w:val="hu-HU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KENCSE EL</w:t>
      </w:r>
      <w:r>
        <w:rPr>
          <w:lang w:val="hu-HU"/>
        </w:rPr>
        <w:t xml:space="preserve">ŐD</w:t>
      </w:r>
      <w:r>
        <w:rPr>
          <w:lang w:val="hu-HU"/>
        </w:rPr>
      </w:r>
    </w:p>
    <w:p>
      <w:pPr>
        <w:pBdr/>
        <w:spacing/>
        <w:ind/>
        <w:rPr>
          <w:rFonts w:cstheme="minorHAnsi"/>
          <w:lang w:val="fr-FR"/>
        </w:rPr>
      </w:pPr>
      <w:r>
        <w:rPr>
          <w:rFonts w:cstheme="minorHAnsi"/>
          <w:lang w:val="fr-FR"/>
        </w:rPr>
      </w:r>
      <w:r>
        <w:rPr>
          <w:rFonts w:cstheme="minorHAnsi"/>
          <w:lang w:val="fr-FR"/>
        </w:rPr>
      </w:r>
    </w:p>
    <w:p>
      <w:pPr>
        <w:pBdr/>
        <w:spacing/>
        <w:ind/>
        <w:jc w:val="center"/>
        <w:rPr>
          <w:rFonts w:cstheme="minorHAnsi"/>
          <w:b/>
          <w:lang w:val="fr-FR"/>
        </w:rPr>
      </w:pPr>
      <w:r>
        <w:rPr>
          <w:rFonts w:cstheme="minorHAnsi"/>
          <w:b/>
          <w:lang w:val="fr-FR"/>
        </w:rPr>
        <w:t xml:space="preserve">ANUNȚ CONCURS</w:t>
      </w:r>
      <w:r>
        <w:rPr>
          <w:rFonts w:cstheme="minorHAnsi"/>
          <w:b/>
          <w:lang w:val="fr-FR"/>
        </w:rPr>
      </w:r>
    </w:p>
    <w:p>
      <w:pPr>
        <w:pBdr/>
        <w:spacing/>
        <w:ind/>
        <w:jc w:val="center"/>
        <w:rPr>
          <w:rFonts w:cstheme="minorHAnsi"/>
          <w:b/>
          <w:lang w:val="fr-FR"/>
        </w:rPr>
      </w:pPr>
      <w:r>
        <w:rPr>
          <w:rFonts w:cstheme="minorHAnsi"/>
          <w:b/>
          <w:lang w:val="fr-FR"/>
        </w:rPr>
        <w:t xml:space="preserve">ocupare</w:t>
      </w:r>
      <w:r>
        <w:rPr>
          <w:rFonts w:cstheme="minorHAnsi"/>
          <w:b/>
          <w:lang w:val="fr-FR"/>
        </w:rPr>
        <w:t xml:space="preserve"> post vacant</w:t>
      </w:r>
      <w:r>
        <w:rPr>
          <w:rFonts w:cstheme="minorHAnsi"/>
          <w:b/>
          <w:lang w:val="fr-FR"/>
        </w:rPr>
        <w:t xml:space="preserve"> de profesor i</w:t>
      </w:r>
      <w:bookmarkStart w:id="0" w:name="_GoBack"/>
      <w:r/>
      <w:bookmarkEnd w:id="0"/>
      <w:r>
        <w:rPr>
          <w:rFonts w:cstheme="minorHAnsi"/>
          <w:b/>
          <w:lang w:val="fr-FR"/>
        </w:rPr>
        <w:t xml:space="preserve">tinerant și de sprijin</w:t>
      </w:r>
      <w:r>
        <w:rPr>
          <w:rFonts w:cstheme="minorHAnsi"/>
          <w:b/>
          <w:lang w:val="fr-FR"/>
        </w:rPr>
        <w:t xml:space="preserve"> </w:t>
      </w:r>
      <w:r>
        <w:rPr>
          <w:rFonts w:cstheme="minorHAnsi"/>
          <w:b/>
          <w:lang w:val="fr-FR"/>
        </w:rPr>
      </w:r>
    </w:p>
    <w:p>
      <w:pPr>
        <w:pBdr/>
        <w:spacing/>
        <w:ind/>
        <w:jc w:val="center"/>
        <w:rPr>
          <w:rFonts w:cstheme="minorHAnsi"/>
          <w:b/>
          <w:lang w:val="fr-FR"/>
        </w:rPr>
      </w:pPr>
      <w:r>
        <w:rPr>
          <w:rFonts w:cstheme="minorHAnsi"/>
          <w:b/>
          <w:lang w:val="fr-FR"/>
        </w:rPr>
        <w:t xml:space="preserve">p</w:t>
      </w:r>
      <w:r>
        <w:rPr>
          <w:rFonts w:cstheme="minorHAnsi"/>
          <w:b/>
          <w:lang w:val="fr-FR"/>
        </w:rPr>
        <w:t xml:space="preserve">ost</w:t>
      </w:r>
      <w:r>
        <w:rPr>
          <w:rFonts w:cstheme="minorHAnsi"/>
          <w:b/>
          <w:lang w:val="fr-FR"/>
        </w:rPr>
        <w:t xml:space="preserve"> </w:t>
      </w:r>
      <w:r>
        <w:rPr>
          <w:rFonts w:cstheme="minorHAnsi"/>
          <w:b/>
          <w:lang w:val="fr-FR"/>
        </w:rPr>
        <w:t xml:space="preserve">contractual</w:t>
      </w:r>
      <w:r>
        <w:rPr>
          <w:rFonts w:cstheme="minorHAnsi"/>
          <w:b/>
          <w:lang w:val="fr-FR"/>
        </w:rPr>
        <w:t xml:space="preserve"> </w:t>
      </w:r>
      <w:r>
        <w:rPr>
          <w:rFonts w:cstheme="minorHAnsi"/>
          <w:b/>
          <w:lang w:val="fr-FR"/>
        </w:rPr>
        <w:t xml:space="preserve">conform</w:t>
      </w:r>
      <w:r>
        <w:rPr>
          <w:rFonts w:cstheme="minorHAnsi"/>
          <w:b/>
          <w:lang w:val="fr-FR"/>
        </w:rPr>
        <w:t xml:space="preserve"> H.G. 1336/2022</w:t>
      </w:r>
      <w:r>
        <w:rPr>
          <w:rFonts w:cstheme="minorHAnsi"/>
          <w:b/>
          <w:lang w:val="fr-FR"/>
        </w:rPr>
      </w:r>
    </w:p>
    <w:p>
      <w:pPr>
        <w:pBdr/>
        <w:spacing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UAT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Sântimbru</w:t>
      </w:r>
      <w:r>
        <w:rPr>
          <w:rFonts w:cstheme="minorHAnsi"/>
          <w:lang w:val="fr-FR"/>
        </w:rPr>
        <w:t xml:space="preserve">, </w:t>
      </w:r>
      <w:r>
        <w:rPr>
          <w:rFonts w:cstheme="minorHAnsi"/>
          <w:lang w:val="fr-FR"/>
        </w:rPr>
        <w:t xml:space="preserve">județul</w:t>
      </w:r>
      <w:r>
        <w:rPr>
          <w:rFonts w:cstheme="minorHAnsi"/>
          <w:lang w:val="fr-FR"/>
        </w:rPr>
        <w:t xml:space="preserve"> Harghita</w:t>
      </w:r>
      <w:r>
        <w:rPr>
          <w:rFonts w:cstheme="minorHAnsi"/>
          <w:lang w:val="fr-FR"/>
        </w:rPr>
        <w:t xml:space="preserve">, organizează concurs în vederea ocupării unui post vacant de </w:t>
      </w:r>
      <w:r>
        <w:rPr>
          <w:rFonts w:cstheme="minorHAnsi"/>
          <w:b/>
          <w:bCs/>
          <w:lang w:val="nl-NL"/>
        </w:rPr>
        <w:t xml:space="preserve">PROFESOR ITINERANT ȘI DE SPRIJIN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, </w:t>
      </w:r>
      <w:r>
        <w:rPr>
          <w:rFonts w:cstheme="minorHAnsi"/>
          <w:lang w:val="fr-FR"/>
        </w:rPr>
        <w:t xml:space="preserve">COD COR</w:t>
      </w:r>
      <w:r>
        <w:rPr>
          <w:rFonts w:cstheme="minorHAnsi"/>
          <w:lang w:val="fr-FR"/>
        </w:rPr>
        <w:t xml:space="preserve"> 235926</w:t>
      </w:r>
      <w:r>
        <w:rPr>
          <w:rFonts w:cstheme="minorHAnsi"/>
          <w:lang w:val="fr-FR"/>
        </w:rPr>
        <w:t xml:space="preserve">, </w:t>
      </w:r>
      <w:r>
        <w:rPr>
          <w:rFonts w:cstheme="minorHAnsi"/>
          <w:lang w:val="fr-FR"/>
        </w:rPr>
        <w:t xml:space="preserve">în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cadrul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Primăriei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Sântimbru</w:t>
      </w:r>
      <w:r>
        <w:rPr>
          <w:rFonts w:cstheme="minorHAnsi"/>
          <w:lang w:val="fr-FR"/>
        </w:rPr>
        <w:t xml:space="preserve">, </w:t>
      </w:r>
      <w:r>
        <w:rPr>
          <w:rFonts w:cstheme="minorHAnsi"/>
          <w:lang w:val="ro-RO"/>
        </w:rPr>
        <w:t xml:space="preserve">î</w:t>
      </w:r>
      <w:r>
        <w:rPr>
          <w:rFonts w:cstheme="minorHAnsi"/>
          <w:lang w:val="fr-FR"/>
        </w:rPr>
        <w:t xml:space="preserve">n </w:t>
      </w:r>
      <w:r>
        <w:rPr>
          <w:rFonts w:cstheme="minorHAnsi"/>
          <w:lang w:val="fr-FR"/>
        </w:rPr>
        <w:t xml:space="preserve">cadrul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proiectului</w:t>
      </w:r>
      <w:r>
        <w:rPr>
          <w:rFonts w:cstheme="minorHAnsi"/>
          <w:lang w:val="fr-FR"/>
        </w:rPr>
        <w:t xml:space="preserve"> „</w:t>
      </w:r>
      <w:r>
        <w:rPr>
          <w:rFonts w:cstheme="minorHAnsi"/>
          <w:lang w:val="fr-FR"/>
        </w:rPr>
        <w:t xml:space="preserve">Furnizare</w:t>
      </w:r>
      <w:r>
        <w:rPr>
          <w:rFonts w:cstheme="minorHAnsi"/>
          <w:lang w:val="fr-FR"/>
        </w:rPr>
        <w:t xml:space="preserve"> de </w:t>
      </w:r>
      <w:r>
        <w:rPr>
          <w:rFonts w:cstheme="minorHAnsi"/>
          <w:lang w:val="fr-FR"/>
        </w:rPr>
        <w:t xml:space="preserve">servicii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in</w:t>
      </w:r>
      <w:r>
        <w:rPr>
          <w:rFonts w:cstheme="minorHAnsi"/>
          <w:lang w:val="fr-FR"/>
        </w:rPr>
        <w:t xml:space="preserve">tegrate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în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comunitățile</w:t>
      </w:r>
      <w:r>
        <w:rPr>
          <w:rFonts w:cstheme="minorHAnsi"/>
          <w:lang w:val="fr-FR"/>
        </w:rPr>
        <w:t xml:space="preserve"> rurale - </w:t>
      </w:r>
      <w:r>
        <w:rPr>
          <w:rFonts w:cstheme="minorHAnsi"/>
          <w:lang w:val="fr-FR"/>
        </w:rPr>
        <w:t xml:space="preserve">facilitarea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accesului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persoanelor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vulnerabile</w:t>
      </w:r>
      <w:r>
        <w:rPr>
          <w:rFonts w:cstheme="minorHAnsi"/>
          <w:lang w:val="fr-FR"/>
        </w:rPr>
        <w:t xml:space="preserve"> la </w:t>
      </w:r>
      <w:r>
        <w:rPr>
          <w:rFonts w:cstheme="minorHAnsi"/>
          <w:lang w:val="fr-FR"/>
        </w:rPr>
        <w:t xml:space="preserve">servicii</w:t>
      </w:r>
      <w:r>
        <w:rPr>
          <w:rFonts w:cstheme="minorHAnsi"/>
          <w:lang w:val="fr-FR"/>
        </w:rPr>
        <w:t xml:space="preserve"> de </w:t>
      </w:r>
      <w:r>
        <w:rPr>
          <w:rFonts w:cstheme="minorHAnsi"/>
          <w:lang w:val="fr-FR"/>
        </w:rPr>
        <w:t xml:space="preserve">bază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eficiente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și</w:t>
      </w:r>
      <w:r>
        <w:rPr>
          <w:rFonts w:cstheme="minorHAnsi"/>
          <w:lang w:val="fr-FR"/>
        </w:rPr>
        <w:t xml:space="preserve"> de </w:t>
      </w:r>
      <w:r>
        <w:rPr>
          <w:rFonts w:cstheme="minorHAnsi"/>
          <w:lang w:val="fr-FR"/>
        </w:rPr>
        <w:t xml:space="preserve">calitate</w:t>
      </w:r>
      <w:r>
        <w:rPr>
          <w:rFonts w:cstheme="minorHAnsi"/>
          <w:lang w:val="fr-FR"/>
        </w:rPr>
        <w:t xml:space="preserve">”, </w:t>
      </w:r>
      <w:r>
        <w:rPr>
          <w:rFonts w:cstheme="minorHAnsi"/>
          <w:lang w:val="fr-FR"/>
        </w:rPr>
        <w:t xml:space="preserve">Cod PIDS/586/PO4/339395, </w:t>
      </w:r>
      <w:r>
        <w:rPr>
          <w:rFonts w:cstheme="minorHAnsi"/>
          <w:lang w:val="fr-FR"/>
        </w:rPr>
        <w:t xml:space="preserve">proiect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finanțat</w:t>
      </w:r>
      <w:r>
        <w:rPr>
          <w:rFonts w:cstheme="minorHAnsi"/>
          <w:lang w:val="fr-FR"/>
        </w:rPr>
        <w:t xml:space="preserve"> de </w:t>
      </w:r>
      <w:r>
        <w:rPr>
          <w:rFonts w:cstheme="minorHAnsi"/>
          <w:lang w:val="fr-FR"/>
        </w:rPr>
        <w:t xml:space="preserve">Uniu</w:t>
      </w:r>
      <w:r>
        <w:rPr>
          <w:rFonts w:cstheme="minorHAnsi"/>
          <w:lang w:val="fr-FR"/>
        </w:rPr>
        <w:t xml:space="preserve">nea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Europeană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din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Fondul</w:t>
      </w:r>
      <w:r>
        <w:rPr>
          <w:rFonts w:cstheme="minorHAnsi"/>
          <w:lang w:val="fr-FR"/>
        </w:rPr>
        <w:t xml:space="preserve"> Social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European</w:t>
      </w:r>
      <w:r>
        <w:rPr>
          <w:rFonts w:cstheme="minorHAnsi"/>
          <w:lang w:val="fr-FR"/>
        </w:rPr>
        <w:t xml:space="preserve"> Plus, </w:t>
      </w:r>
      <w:r>
        <w:rPr>
          <w:rFonts w:cstheme="minorHAnsi"/>
          <w:lang w:val="fr-FR"/>
        </w:rPr>
        <w:t xml:space="preserve">prin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Programul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Incluziune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și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Demnitate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Socială</w:t>
      </w:r>
      <w:r>
        <w:rPr>
          <w:rFonts w:cstheme="minorHAnsi"/>
          <w:lang w:val="fr-FR"/>
        </w:rPr>
        <w:t xml:space="preserve"> 2021- 2027, </w:t>
      </w:r>
      <w:r>
        <w:rPr>
          <w:rFonts w:cstheme="minorHAnsi"/>
          <w:lang w:val="fr-FR"/>
        </w:rPr>
        <w:t xml:space="preserve">cu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perioadă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de </w:t>
      </w:r>
      <w:r>
        <w:rPr>
          <w:rFonts w:cstheme="minorHAnsi"/>
          <w:lang w:val="fr-FR"/>
        </w:rPr>
        <w:t xml:space="preserve">implementare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până</w:t>
      </w:r>
      <w:r>
        <w:rPr>
          <w:rFonts w:cstheme="minorHAnsi"/>
          <w:lang w:val="fr-FR"/>
        </w:rPr>
        <w:t xml:space="preserve"> la data de 31.12.2029, </w:t>
      </w:r>
      <w:r>
        <w:rPr>
          <w:rFonts w:cstheme="minorHAnsi"/>
          <w:lang w:val="fr-FR"/>
        </w:rPr>
        <w:t xml:space="preserve">pe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perio</w:t>
      </w:r>
      <w:r>
        <w:rPr>
          <w:rFonts w:cstheme="minorHAnsi"/>
          <w:lang w:val="fr-FR"/>
        </w:rPr>
        <w:t xml:space="preserve">adă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determinată</w:t>
      </w:r>
      <w:r>
        <w:rPr>
          <w:rFonts w:cstheme="minorHAnsi"/>
          <w:lang w:val="fr-FR"/>
        </w:rPr>
        <w:t xml:space="preserve">, </w:t>
      </w:r>
      <w:r>
        <w:rPr>
          <w:rFonts w:cstheme="minorHAnsi"/>
          <w:lang w:val="fr-FR"/>
        </w:rPr>
        <w:t xml:space="preserve">pe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perioada</w:t>
      </w:r>
      <w:r>
        <w:rPr>
          <w:rFonts w:cstheme="minorHAnsi"/>
          <w:lang w:val="fr-FR"/>
        </w:rPr>
        <w:t xml:space="preserve"> de </w:t>
      </w:r>
      <w:r>
        <w:rPr>
          <w:rFonts w:cstheme="minorHAnsi"/>
          <w:lang w:val="fr-FR"/>
        </w:rPr>
        <w:t xml:space="preserve">implementare</w:t>
      </w:r>
      <w:r>
        <w:rPr>
          <w:rFonts w:cstheme="minorHAnsi"/>
          <w:lang w:val="fr-FR"/>
        </w:rPr>
        <w:t xml:space="preserve"> a </w:t>
      </w:r>
      <w:r>
        <w:rPr>
          <w:rFonts w:cstheme="minorHAnsi"/>
          <w:lang w:val="fr-FR"/>
        </w:rPr>
        <w:t xml:space="preserve">proiectului</w:t>
      </w:r>
      <w:r>
        <w:rPr>
          <w:rFonts w:cstheme="minorHAnsi"/>
          <w:lang w:val="fr-FR"/>
        </w:rPr>
        <w:t xml:space="preserve">, </w:t>
      </w:r>
      <w:r>
        <w:rPr>
          <w:rFonts w:cstheme="minorHAnsi"/>
          <w:lang w:val="fr-FR"/>
        </w:rPr>
        <w:t xml:space="preserve">cu</w:t>
      </w:r>
      <w:r>
        <w:rPr>
          <w:rFonts w:cstheme="minorHAnsi"/>
          <w:lang w:val="fr-FR"/>
        </w:rPr>
        <w:t xml:space="preserve"> o </w:t>
      </w:r>
      <w:r>
        <w:rPr>
          <w:rFonts w:cstheme="minorHAnsi"/>
          <w:lang w:val="fr-FR"/>
        </w:rPr>
        <w:t xml:space="preserve">durată</w:t>
      </w:r>
      <w:r>
        <w:rPr>
          <w:rFonts w:cstheme="minorHAnsi"/>
          <w:lang w:val="fr-FR"/>
        </w:rPr>
        <w:t xml:space="preserve"> a </w:t>
      </w:r>
      <w:r>
        <w:rPr>
          <w:rFonts w:cstheme="minorHAnsi"/>
          <w:lang w:val="fr-FR"/>
        </w:rPr>
        <w:t xml:space="preserve">ti</w:t>
      </w:r>
      <w:r>
        <w:rPr>
          <w:rFonts w:cstheme="minorHAnsi"/>
          <w:lang w:val="fr-FR"/>
        </w:rPr>
        <w:t xml:space="preserve">mpului</w:t>
      </w:r>
      <w:r>
        <w:rPr>
          <w:rFonts w:cstheme="minorHAnsi"/>
          <w:lang w:val="fr-FR"/>
        </w:rPr>
        <w:t xml:space="preserve"> de </w:t>
      </w:r>
      <w:r>
        <w:rPr>
          <w:rFonts w:cstheme="minorHAnsi"/>
          <w:lang w:val="fr-FR"/>
        </w:rPr>
        <w:t xml:space="preserve">lucru</w:t>
      </w:r>
      <w:r>
        <w:rPr>
          <w:rFonts w:cstheme="minorHAnsi"/>
          <w:lang w:val="fr-FR"/>
        </w:rPr>
        <w:t xml:space="preserve"> de 8 ore/</w:t>
      </w:r>
      <w:r>
        <w:rPr>
          <w:rFonts w:cstheme="minorHAnsi"/>
          <w:lang w:val="fr-FR"/>
        </w:rPr>
        <w:t xml:space="preserve">zi</w:t>
      </w:r>
      <w:r>
        <w:rPr>
          <w:rFonts w:cstheme="minorHAnsi"/>
          <w:lang w:val="fr-FR"/>
        </w:rPr>
        <w:t xml:space="preserve">, 40 </w:t>
      </w:r>
      <w:r>
        <w:rPr>
          <w:rFonts w:cstheme="minorHAnsi"/>
          <w:lang w:val="fr-FR"/>
        </w:rPr>
        <w:t xml:space="preserve">ore/</w:t>
      </w:r>
      <w:r>
        <w:rPr>
          <w:rFonts w:cstheme="minorHAnsi"/>
          <w:lang w:val="fr-FR"/>
        </w:rPr>
        <w:t xml:space="preserve">săptămână</w:t>
      </w:r>
      <w:r>
        <w:rPr>
          <w:rFonts w:cstheme="minorHAnsi"/>
          <w:lang w:val="fr-FR"/>
        </w:rPr>
        <w:t xml:space="preserve"> – </w:t>
      </w:r>
      <w:r>
        <w:rPr>
          <w:rFonts w:cstheme="minorHAnsi"/>
          <w:lang w:val="fr-FR"/>
        </w:rPr>
        <w:t xml:space="preserve">normă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întrea</w:t>
      </w:r>
      <w:r>
        <w:rPr>
          <w:rFonts w:cstheme="minorHAnsi"/>
          <w:lang w:val="fr-FR"/>
        </w:rPr>
        <w:t xml:space="preserve">gă</w:t>
      </w:r>
      <w:r>
        <w:rPr>
          <w:rFonts w:cstheme="minorHAnsi"/>
          <w:lang w:val="fr-FR"/>
        </w:rPr>
        <w:t xml:space="preserve">)</w:t>
      </w:r>
      <w:r>
        <w:rPr>
          <w:rFonts w:cstheme="minorHAnsi"/>
          <w:lang w:val="fr-FR"/>
        </w:rPr>
      </w:r>
    </w:p>
    <w:p>
      <w:pPr>
        <w:pBdr/>
        <w:spacing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Nivelul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postului</w:t>
      </w:r>
      <w:r>
        <w:rPr>
          <w:rFonts w:cstheme="minorHAnsi"/>
          <w:lang w:val="fr-FR"/>
        </w:rPr>
        <w:t xml:space="preserve">: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execuție</w:t>
      </w:r>
      <w:r>
        <w:rPr>
          <w:rFonts w:cstheme="minorHAnsi"/>
          <w:lang w:val="fr-FR"/>
        </w:rPr>
        <w:t xml:space="preserve">, membru in </w:t>
      </w:r>
      <w:r>
        <w:rPr>
          <w:rFonts w:cstheme="minorHAnsi"/>
          <w:lang w:val="fr-FR"/>
        </w:rPr>
        <w:t xml:space="preserve">Echipa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Comunitară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Integrată</w:t>
      </w:r>
      <w:r>
        <w:rPr>
          <w:rFonts w:cstheme="minorHAnsi"/>
          <w:lang w:val="fr-FR"/>
        </w:rPr>
        <w:t xml:space="preserve"> (ECI);</w:t>
      </w:r>
      <w:r>
        <w:rPr>
          <w:rFonts w:cstheme="minorHAnsi"/>
          <w:lang w:val="fr-FR"/>
        </w:rPr>
      </w:r>
    </w:p>
    <w:p>
      <w:pPr>
        <w:pBdr/>
        <w:spacing/>
        <w:ind/>
        <w:jc w:val="both"/>
        <w:rPr>
          <w:rFonts w:cstheme="minorHAnsi"/>
          <w:strike/>
          <w:lang w:val="fr-FR"/>
        </w:rPr>
      </w:pPr>
      <w:r>
        <w:rPr>
          <w:rFonts w:cstheme="minorHAnsi"/>
          <w:lang w:val="fr-FR"/>
        </w:rPr>
        <w:t xml:space="preserve">Concursul</w:t>
      </w:r>
      <w:r>
        <w:rPr>
          <w:rFonts w:cstheme="minorHAnsi"/>
          <w:lang w:val="fr-FR"/>
        </w:rPr>
        <w:t xml:space="preserve"> de </w:t>
      </w:r>
      <w:r>
        <w:rPr>
          <w:rFonts w:cstheme="minorHAnsi"/>
          <w:lang w:val="fr-FR"/>
        </w:rPr>
        <w:t xml:space="preserve">recrutare</w:t>
      </w:r>
      <w:r>
        <w:rPr>
          <w:rFonts w:cstheme="minorHAnsi"/>
          <w:lang w:val="fr-FR"/>
        </w:rPr>
        <w:t xml:space="preserve"> se va </w:t>
      </w:r>
      <w:r>
        <w:rPr>
          <w:rFonts w:cstheme="minorHAnsi"/>
          <w:lang w:val="fr-FR"/>
        </w:rPr>
        <w:t xml:space="preserve">desfășura</w:t>
      </w:r>
      <w:r>
        <w:rPr>
          <w:rFonts w:cstheme="minorHAnsi"/>
          <w:lang w:val="fr-FR"/>
        </w:rPr>
        <w:t xml:space="preserve"> la </w:t>
      </w:r>
      <w:r>
        <w:rPr>
          <w:rFonts w:cstheme="minorHAnsi"/>
          <w:lang w:val="fr-FR"/>
        </w:rPr>
        <w:t xml:space="preserve">sediul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Pr</w:t>
      </w:r>
      <w:r>
        <w:rPr>
          <w:rFonts w:cstheme="minorHAnsi"/>
          <w:lang w:val="fr-FR"/>
        </w:rPr>
        <w:t xml:space="preserve">imăriei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Comunei</w:t>
      </w:r>
      <w:r>
        <w:rPr>
          <w:rFonts w:cstheme="minorHAnsi"/>
          <w:lang w:val="fr-FR"/>
        </w:rPr>
        <w:t xml:space="preserve"> </w:t>
      </w:r>
      <w:r>
        <w:rPr>
          <w:rFonts w:cstheme="minorHAnsi"/>
          <w:lang w:val="fr-FR"/>
        </w:rPr>
        <w:t xml:space="preserve">Santimbru</w:t>
      </w:r>
      <w:r>
        <w:rPr>
          <w:rFonts w:cstheme="minorHAnsi"/>
          <w:strike/>
          <w:lang w:val="fr-FR"/>
        </w:rPr>
      </w:r>
    </w:p>
    <w:p>
      <w:pPr>
        <w:pBdr/>
        <w:spacing/>
        <w:ind/>
        <w:rPr>
          <w:rFonts w:cstheme="minorHAnsi"/>
          <w:b/>
          <w:bCs/>
          <w:lang w:val="fr-FR"/>
        </w:rPr>
      </w:pPr>
      <w:r>
        <w:rPr>
          <w:rFonts w:cstheme="minorHAnsi"/>
          <w:b/>
          <w:bCs/>
          <w:lang w:val="fr-FR"/>
        </w:rPr>
        <w:t xml:space="preserve">CONDIȚII GENERALE DE </w:t>
      </w:r>
      <w:r>
        <w:rPr>
          <w:rFonts w:cstheme="minorHAnsi"/>
          <w:b/>
          <w:bCs/>
          <w:lang w:val="fr-FR"/>
        </w:rPr>
        <w:t xml:space="preserve">PARTICIPARE:</w:t>
      </w:r>
      <w:r>
        <w:rPr>
          <w:rFonts w:cstheme="minorHAnsi"/>
          <w:b/>
          <w:bCs/>
          <w:lang w:val="fr-FR"/>
        </w:rPr>
      </w:r>
    </w:p>
    <w:p>
      <w:pPr>
        <w:pBdr/>
        <w:spacing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Condiții generale care trebuie îndeplinite de o persoană pentru a putea participa la concurs</w:t>
      </w:r>
      <w:r>
        <w:rPr>
          <w:rFonts w:cstheme="minorHAnsi"/>
          <w:lang w:val="fr-FR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are cetăţenia română sau cetăţenia unui alt stat membru al Uniunii Europene, a unui stat parte la Acordul privind Spaţiul Economic European (SEE) sau cetăţenia Confederaţiei Elveţiene, cu reședința în România;</w:t>
      </w:r>
      <w:r>
        <w:rPr>
          <w:rFonts w:cstheme="minorHAnsi"/>
          <w:lang w:val="fr-FR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cunoaşte limba română, scris şi vorbit;</w:t>
      </w:r>
      <w:r>
        <w:rPr>
          <w:rFonts w:cstheme="minorHAnsi"/>
          <w:lang w:val="fr-FR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</w:rPr>
      </w:pPr>
      <w:r>
        <w:rPr>
          <w:rFonts w:cstheme="minorHAnsi"/>
        </w:rPr>
        <w:t xml:space="preserve">are capacitate de </w:t>
      </w:r>
      <w:r>
        <w:rPr>
          <w:rFonts w:cstheme="minorHAnsi"/>
        </w:rPr>
        <w:t xml:space="preserve">muncă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în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conformitate</w:t>
      </w:r>
      <w:r>
        <w:rPr>
          <w:rFonts w:cstheme="minorHAnsi"/>
        </w:rPr>
        <w:t xml:space="preserve"> cu </w:t>
      </w:r>
      <w:r>
        <w:rPr>
          <w:rFonts w:cstheme="minorHAnsi"/>
        </w:rPr>
        <w:t xml:space="preserve">prevederile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Legii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nr</w:t>
      </w:r>
      <w:r>
        <w:rPr>
          <w:rFonts w:cstheme="minorHAnsi"/>
        </w:rPr>
        <w:t xml:space="preserve">. 53/2003 - </w:t>
      </w:r>
      <w:r>
        <w:rPr>
          <w:rFonts w:cstheme="minorHAnsi"/>
        </w:rPr>
        <w:t xml:space="preserve">Codul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muncii</w:t>
      </w:r>
      <w:r>
        <w:rPr>
          <w:rFonts w:cstheme="minorHAnsi"/>
        </w:rPr>
        <w:t xml:space="preserve">, </w:t>
      </w:r>
      <w:r>
        <w:rPr>
          <w:rFonts w:cstheme="minorHAnsi"/>
        </w:rPr>
        <w:t xml:space="preserve">republicată</w:t>
      </w:r>
      <w:r>
        <w:rPr>
          <w:rFonts w:cstheme="minorHAnsi"/>
        </w:rPr>
        <w:t xml:space="preserve">, cu </w:t>
      </w:r>
      <w:r>
        <w:rPr>
          <w:rFonts w:cstheme="minorHAnsi"/>
        </w:rPr>
        <w:t xml:space="preserve">modificările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şi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completările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ulterioare</w:t>
      </w:r>
      <w:r>
        <w:rPr>
          <w:rFonts w:cstheme="minorHAnsi"/>
        </w:rPr>
        <w:t xml:space="preserve">;</w:t>
      </w:r>
      <w:r>
        <w:rPr>
          <w:rFonts w:cstheme="minorHAnsi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</w:rPr>
      </w:pPr>
      <w:r>
        <w:rPr>
          <w:rFonts w:cstheme="minorHAnsi"/>
        </w:rPr>
        <w:t xml:space="preserve">are o stare de </w:t>
      </w:r>
      <w:r>
        <w:rPr>
          <w:rFonts w:cstheme="minorHAnsi"/>
        </w:rPr>
        <w:t xml:space="preserve">sănătate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corespunzătoare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postului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pentru</w:t>
      </w:r>
      <w:r>
        <w:rPr>
          <w:rFonts w:cstheme="minorHAnsi"/>
        </w:rPr>
        <w:t xml:space="preserve"> care </w:t>
      </w:r>
      <w:r>
        <w:rPr>
          <w:rFonts w:cstheme="minorHAnsi"/>
        </w:rPr>
        <w:t xml:space="preserve">candidează</w:t>
      </w:r>
      <w:r>
        <w:rPr>
          <w:rFonts w:cstheme="minorHAnsi"/>
        </w:rPr>
        <w:t xml:space="preserve">, </w:t>
      </w:r>
      <w:r>
        <w:rPr>
          <w:rFonts w:cstheme="minorHAnsi"/>
        </w:rPr>
        <w:t xml:space="preserve">atestată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pe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baza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adeverinţei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medicale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eliberate</w:t>
      </w:r>
      <w:r>
        <w:rPr>
          <w:rFonts w:cstheme="minorHAnsi"/>
        </w:rPr>
        <w:t xml:space="preserve"> de </w:t>
      </w:r>
      <w:r>
        <w:rPr>
          <w:rFonts w:cstheme="minorHAnsi"/>
        </w:rPr>
        <w:t xml:space="preserve">medicul</w:t>
      </w:r>
      <w:r>
        <w:rPr>
          <w:rFonts w:cstheme="minorHAnsi"/>
        </w:rPr>
        <w:t xml:space="preserve"> de </w:t>
      </w:r>
      <w:r>
        <w:rPr>
          <w:rFonts w:cstheme="minorHAnsi"/>
        </w:rPr>
        <w:t xml:space="preserve">familie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sau</w:t>
      </w:r>
      <w:r>
        <w:rPr>
          <w:rFonts w:cstheme="minorHAnsi"/>
        </w:rPr>
        <w:t xml:space="preserve"> de </w:t>
      </w:r>
      <w:r>
        <w:rPr>
          <w:rFonts w:cstheme="minorHAnsi"/>
        </w:rPr>
        <w:t xml:space="preserve">unităţile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sanitare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abilitate</w:t>
      </w:r>
      <w:r>
        <w:rPr>
          <w:rFonts w:cstheme="minorHAnsi"/>
        </w:rPr>
        <w:t xml:space="preserve">;</w:t>
      </w:r>
      <w:r>
        <w:rPr>
          <w:rFonts w:cstheme="minorHAnsi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îndeplineşte condiţiile de studii, de vechime în specialitate şi, după caz, alte condiţii specifice potrivit cerinţelor postului scos la concurs;</w:t>
      </w:r>
      <w:r>
        <w:rPr>
          <w:rFonts w:cstheme="minorHAnsi"/>
          <w:lang w:val="fr-FR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nu a fost condamnată definitiv pentru săvârşirea unei infracţiuni contra securităţii naţionale, contra autorităţii, contra umanităţii, infracţiuni de corupţie sau de serviciu, infracţiuni de fals ori contra </w:t>
      </w:r>
      <w:r>
        <w:rPr>
          <w:rFonts w:cstheme="minorHAnsi"/>
          <w:lang w:val="fr-FR"/>
        </w:rPr>
        <w:t xml:space="preserve">înfăptuirii justiţiei, infracţiuni săvârşite cu intenţie care ar face o persoană candidată la post incompatibilă cu exercitarea funcţiei contractuale pentru care candidează, cu excepţia situaţiei în care a intervenit reabilitarea;</w:t>
      </w:r>
      <w:r>
        <w:rPr>
          <w:rFonts w:cstheme="minorHAnsi"/>
          <w:lang w:val="fr-FR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nu execută o pedeapsă complementară prin care i-a fost interzisă exercitarea dreptului de </w:t>
      </w:r>
      <w:r>
        <w:rPr>
          <w:rFonts w:cstheme="minorHAnsi"/>
          <w:lang w:val="fr-FR"/>
        </w:rPr>
        <w:t xml:space="preserve">a ocupa funcţia, de a exercita profesia sau meseria ori de a desfăşura activitatea de care s-a folosit pentru săvârşirea infracţiunii sau faţă de aceasta nu s-a luat măsura de siguranţă a interzicerii ocupării unei funcţii sau a exercitării unei profesii; </w:t>
      </w:r>
      <w:r>
        <w:rPr>
          <w:rFonts w:cstheme="minorHAnsi"/>
          <w:lang w:val="fr-FR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</w:rPr>
      </w:pPr>
      <w:r>
        <w:rPr>
          <w:rFonts w:cstheme="minorHAnsi"/>
          <w:lang w:val="fr-FR"/>
        </w:rPr>
        <w:t xml:space="preserve">nu a comis infracţiunile prevăzute la art. 1 alin. (2) din Legea nr. 118/2019 privind Registrul naţional automatizat cu privire la persoanele care au comis infracţiuni sexuale,</w:t>
      </w:r>
      <w:r>
        <w:rPr>
          <w:rFonts w:cstheme="minorHAnsi"/>
          <w:lang w:val="fr-FR"/>
        </w:rPr>
        <w:t xml:space="preserve"> de exploatare a unor persoane sau asupra minorilor, precum și pentru completarea Legii nr. 76/2008 privind organizarea și funcţionarea Sistemului Naţional de Date Genetice Judiciare, cu modificările ulterioare, pentru domeniile prevăzute la art. 35 alin. </w:t>
      </w:r>
      <w:r>
        <w:rPr>
          <w:rFonts w:cstheme="minorHAnsi"/>
        </w:rPr>
        <w:t xml:space="preserve">(1) lit. h).</w:t>
      </w:r>
      <w:r>
        <w:rPr>
          <w:rFonts w:cstheme="minorHAnsi"/>
        </w:rPr>
      </w:r>
    </w:p>
    <w:p>
      <w:pPr>
        <w:pStyle w:val="679"/>
        <w:numPr>
          <w:ilvl w:val="0"/>
          <w:numId w:val="1"/>
        </w:num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îndeplineşte alte condiţii generale în funcţie de specificul postului</w:t>
      </w:r>
      <w:r>
        <w:rPr>
          <w:rFonts w:cstheme="minorHAnsi"/>
          <w:lang w:val="fr-FR"/>
        </w:rPr>
      </w:r>
    </w:p>
    <w:p>
      <w:p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</w:r>
      <w:r>
        <w:rPr>
          <w:rFonts w:cstheme="minorHAnsi"/>
          <w:lang w:val="fr-FR"/>
        </w:rPr>
      </w:r>
    </w:p>
    <w:p>
      <w:p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</w:r>
      <w:r>
        <w:rPr>
          <w:rFonts w:cstheme="minorHAnsi"/>
          <w:lang w:val="fr-FR"/>
        </w:rPr>
      </w:r>
    </w:p>
    <w:p>
      <w:p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</w:r>
      <w:r>
        <w:rPr>
          <w:rFonts w:cstheme="minorHAnsi"/>
          <w:lang w:val="fr-FR"/>
        </w:rPr>
      </w:r>
    </w:p>
    <w:p>
      <w:pPr>
        <w:pBdr/>
        <w:spacing w:after="0" w:line="240" w:lineRule="auto"/>
        <w:ind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</w:r>
      <w:r>
        <w:rPr>
          <w:rFonts w:cstheme="minorHAnsi"/>
          <w:lang w:val="fr-FR"/>
        </w:rPr>
      </w:r>
    </w:p>
    <w:tbl>
      <w:tblPr>
        <w:tblStyle w:val="681"/>
        <w:tblW w:w="9918" w:type="dxa"/>
        <w:tblBorders/>
        <w:tblLook w:val="04A0" w:firstRow="1" w:lastRow="0" w:firstColumn="1" w:lastColumn="0" w:noHBand="0" w:noVBand="1"/>
      </w:tblPr>
      <w:tblGrid>
        <w:gridCol w:w="1344"/>
        <w:gridCol w:w="1387"/>
        <w:gridCol w:w="7187"/>
      </w:tblGrid>
      <w:tr>
        <w:trPr/>
        <w:tc>
          <w:tcPr>
            <w:tcBorders/>
            <w:tcW w:w="1344" w:type="dxa"/>
          </w:tcPr>
          <w:p>
            <w:pPr>
              <w:pBdr/>
              <w:spacing/>
              <w:ind/>
              <w:rPr>
                <w:rFonts w:cstheme="minorHAnsi"/>
              </w:rPr>
            </w:pPr>
            <w:r>
              <w:rPr>
                <w:rFonts w:cstheme="minorHAnsi"/>
              </w:rPr>
              <w:t xml:space="preserve">EDUCATIE</w:t>
            </w:r>
            <w:r>
              <w:rPr>
                <w:rFonts w:cstheme="minorHAnsi"/>
              </w:rPr>
            </w:r>
          </w:p>
        </w:tc>
        <w:tc>
          <w:tcPr>
            <w:tcBorders/>
            <w:tcW w:w="1387" w:type="dxa"/>
          </w:tcPr>
          <w:p>
            <w:pPr>
              <w:pBdr/>
              <w:spacing/>
              <w:ind/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PROFESOR ITINERANT ȘI DE SPRIJIN</w:t>
            </w:r>
            <w:r>
              <w:rPr>
                <w:rFonts w:cstheme="minorHAnsi"/>
                <w:lang w:val="nl-NL"/>
              </w:rPr>
            </w:r>
          </w:p>
        </w:tc>
        <w:tc>
          <w:tcPr>
            <w:tcBorders/>
            <w:tcW w:w="7187" w:type="dxa"/>
          </w:tcPr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dezvoltarea și promovarea activităților de suport educațional care să asigure diminuarea/compensarea și remedierea dificultăților de învățare de ordin structural, organizatoric, emoțional sau de altă natură ale copiilor cu cerințe educaționale speciale;</w:t>
            </w:r>
            <w:r>
              <w:rPr>
                <w:rFonts w:cstheme="minorHAnsi"/>
                <w:lang w:val="nl-NL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participarea în colaborare cu membrii echipei comunitare integrate la analiza situației copiilor, în scopul identificării celor care necesită suport educațional pentru depășirea dificultăților de învățare;</w:t>
            </w:r>
            <w:r>
              <w:rPr>
                <w:rFonts w:cstheme="minorHAnsi"/>
                <w:lang w:val="nl-NL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colaborarea cu cadrele didactice, alți specialiști și părinții, în scopul realizării obiectivelor din Planul educațional individualizat și stabilirea modalităților concrete de lucru cu copiii cu cerințe educaționale speciale;</w:t>
            </w:r>
            <w:r>
              <w:rPr>
                <w:rFonts w:cstheme="minorHAnsi"/>
                <w:lang w:val="nl-NL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identificarea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resurselor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necesare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și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adecvate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realizării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activităților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suport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educațional</w:t>
            </w:r>
            <w:r>
              <w:rPr>
                <w:rFonts w:cstheme="minorHAnsi"/>
              </w:rPr>
              <w:t xml:space="preserve">;</w:t>
            </w:r>
            <w:r>
              <w:rPr>
                <w:rFonts w:cstheme="minorHAnsi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realizarea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activităților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sprijin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educațional</w:t>
            </w:r>
            <w:r>
              <w:rPr>
                <w:rFonts w:cstheme="minorHAnsi"/>
              </w:rPr>
              <w:t xml:space="preserve">, individual </w:t>
            </w:r>
            <w:r>
              <w:rPr>
                <w:rFonts w:cstheme="minorHAnsi"/>
              </w:rPr>
              <w:t xml:space="preserve">sau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în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grup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sprijinirea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copiilor</w:t>
            </w:r>
            <w:r>
              <w:rPr>
                <w:rFonts w:cstheme="minorHAnsi"/>
              </w:rPr>
              <w:t xml:space="preserve"> cu </w:t>
            </w:r>
            <w:r>
              <w:rPr>
                <w:rFonts w:cstheme="minorHAnsi"/>
              </w:rPr>
              <w:t xml:space="preserve">cerințe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educaționale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speciale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în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pregătirea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temelor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pentru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acasă</w:t>
            </w:r>
            <w:r>
              <w:rPr>
                <w:rFonts w:cstheme="minorHAnsi"/>
              </w:rPr>
              <w:t xml:space="preserve">;</w:t>
            </w:r>
            <w:r>
              <w:rPr>
                <w:rFonts w:cstheme="minorHAnsi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organizarea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și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promovarea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activităților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prevenire</w:t>
            </w:r>
            <w:r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 xml:space="preserve">eșecului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școlar</w:t>
            </w:r>
            <w:r>
              <w:rPr>
                <w:rFonts w:cstheme="minorHAnsi"/>
              </w:rPr>
              <w:t xml:space="preserve"> al </w:t>
            </w:r>
            <w:r>
              <w:rPr>
                <w:rFonts w:cstheme="minorHAnsi"/>
              </w:rPr>
              <w:t xml:space="preserve">copiilor</w:t>
            </w:r>
            <w:r>
              <w:rPr>
                <w:rFonts w:cstheme="minorHAnsi"/>
              </w:rPr>
              <w:t xml:space="preserve"> cu </w:t>
            </w:r>
            <w:r>
              <w:rPr>
                <w:rFonts w:cstheme="minorHAnsi"/>
              </w:rPr>
              <w:t xml:space="preserve">cerințe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educaționale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speciale</w:t>
            </w:r>
            <w:r>
              <w:rPr>
                <w:rFonts w:cstheme="minorHAnsi"/>
              </w:rPr>
              <w:t xml:space="preserve">.</w:t>
            </w:r>
            <w:r>
              <w:rPr>
                <w:rFonts w:cstheme="minorHAnsi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g.</w:t>
            </w:r>
            <w:r>
              <w:rPr>
                <w:rFonts w:cstheme="minorHAnsi"/>
              </w:rPr>
              <w:tab/>
              <w:t xml:space="preserve">g) </w:t>
            </w:r>
            <w:r>
              <w:rPr>
                <w:rFonts w:cstheme="minorHAnsi"/>
              </w:rPr>
              <w:t xml:space="preserve">alte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tipuri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intervenţii</w:t>
            </w:r>
            <w:r>
              <w:rPr>
                <w:rFonts w:cstheme="minorHAnsi"/>
              </w:rPr>
              <w:t xml:space="preserve"> care </w:t>
            </w:r>
            <w:r>
              <w:rPr>
                <w:rFonts w:cstheme="minorHAnsi"/>
              </w:rPr>
              <w:t xml:space="preserve">sunt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în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relaţie</w:t>
            </w:r>
            <w:r>
              <w:rPr>
                <w:rFonts w:cstheme="minorHAnsi"/>
              </w:rPr>
              <w:t xml:space="preserve"> cu aria </w:t>
            </w:r>
            <w:r>
              <w:rPr>
                <w:rFonts w:cstheme="minorHAnsi"/>
              </w:rPr>
              <w:t xml:space="preserve">suportului</w:t>
            </w:r>
            <w:r>
              <w:rPr>
                <w:rFonts w:cstheme="minorHAnsi"/>
              </w:rPr>
              <w:t xml:space="preserve"> /</w:t>
            </w:r>
            <w:r>
              <w:rPr>
                <w:rFonts w:cstheme="minorHAnsi"/>
              </w:rPr>
              <w:t xml:space="preserve">sprijinului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educațional</w:t>
            </w:r>
            <w:r>
              <w:rPr>
                <w:rFonts w:cstheme="minorHAnsi"/>
              </w:rPr>
              <w:t xml:space="preserve"> care </w:t>
            </w:r>
            <w:r>
              <w:rPr>
                <w:rFonts w:cstheme="minorHAnsi"/>
              </w:rPr>
              <w:t xml:space="preserve">ţin</w:t>
            </w:r>
            <w:r>
              <w:rPr>
                <w:rFonts w:cstheme="minorHAnsi"/>
              </w:rPr>
              <w:t xml:space="preserve"> de   </w:t>
            </w:r>
            <w:r>
              <w:rPr>
                <w:rFonts w:cstheme="minorHAnsi"/>
              </w:rPr>
              <w:t xml:space="preserve">profesorul</w:t>
            </w:r>
            <w:r>
              <w:rPr>
                <w:rFonts w:cstheme="minorHAnsi"/>
              </w:rPr>
              <w:t xml:space="preserve"> itinerant </w:t>
            </w:r>
            <w:r>
              <w:rPr>
                <w:rFonts w:cstheme="minorHAnsi"/>
              </w:rPr>
              <w:t xml:space="preserve">și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sprijin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pentru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eliminarea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cauzelor</w:t>
            </w:r>
            <w:r>
              <w:rPr>
                <w:rFonts w:cstheme="minorHAnsi"/>
              </w:rPr>
              <w:t xml:space="preserve"> care </w:t>
            </w:r>
            <w:r>
              <w:rPr>
                <w:rFonts w:cstheme="minorHAnsi"/>
              </w:rPr>
              <w:t xml:space="preserve">generează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şi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menţin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starea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sărăcie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şi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excluziune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socială</w:t>
            </w:r>
            <w:r>
              <w:rPr>
                <w:rFonts w:cstheme="minorHAnsi"/>
              </w:rPr>
              <w:t xml:space="preserve">.</w:t>
            </w:r>
            <w:r>
              <w:rPr>
                <w:rFonts w:cstheme="minorHAnsi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Desfăsoară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servicii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informare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sprijin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pentru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unitati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invatamant</w:t>
            </w:r>
            <w:r>
              <w:rPr>
                <w:rFonts w:cstheme="minorHAnsi"/>
              </w:rPr>
              <w:t xml:space="preserve"> in </w:t>
            </w:r>
            <w:r>
              <w:rPr>
                <w:rFonts w:cstheme="minorHAnsi"/>
              </w:rPr>
              <w:t xml:space="preserve">scopul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prevenirii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traficului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consumului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droguri</w:t>
            </w:r>
            <w:r>
              <w:rPr>
                <w:rFonts w:cstheme="minorHAnsi"/>
              </w:rPr>
              <w:t xml:space="preserve">, bullying, </w:t>
            </w:r>
            <w:r>
              <w:rPr>
                <w:rFonts w:cstheme="minorHAnsi"/>
              </w:rPr>
              <w:t xml:space="preserve">hartuire</w:t>
            </w:r>
            <w:r>
              <w:rPr>
                <w:rFonts w:cstheme="minorHAnsi"/>
              </w:rPr>
            </w:r>
          </w:p>
          <w:p>
            <w:pPr>
              <w:pBdr/>
              <w:spacing/>
              <w:ind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</w:r>
            <w:r>
              <w:rPr>
                <w:rFonts w:cstheme="minorHAnsi"/>
              </w:rPr>
            </w:r>
          </w:p>
          <w:p>
            <w:pPr>
              <w:pBdr/>
              <w:spacing/>
              <w:ind/>
              <w:jc w:val="both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Alte atribuții (specifice în cadrul proiectului):</w:t>
            </w:r>
            <w:r>
              <w:rPr>
                <w:rFonts w:cstheme="minorHAnsi"/>
                <w:lang w:val="fr-FR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derularea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activități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identificare</w:t>
            </w:r>
            <w:r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 xml:space="preserve">persoanelor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vulnerabile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prin</w:t>
            </w:r>
            <w:r>
              <w:rPr>
                <w:rFonts w:cstheme="minorHAnsi"/>
              </w:rPr>
              <w:t xml:space="preserve"> diverse </w:t>
            </w:r>
            <w:r>
              <w:rPr>
                <w:rFonts w:cstheme="minorHAnsi"/>
              </w:rPr>
              <w:t xml:space="preserve">mecanisme</w:t>
            </w:r>
            <w:r>
              <w:rPr>
                <w:rFonts w:cstheme="minorHAnsi"/>
              </w:rPr>
              <w:t xml:space="preserve"> –screening, </w:t>
            </w:r>
            <w:r>
              <w:rPr>
                <w:rFonts w:cstheme="minorHAnsi"/>
              </w:rPr>
              <w:t xml:space="preserve">sesizări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referire</w:t>
            </w:r>
            <w:r>
              <w:rPr>
                <w:rFonts w:cstheme="minorHAnsi"/>
              </w:rPr>
              <w:t xml:space="preserve">;</w:t>
            </w:r>
            <w:r>
              <w:rPr>
                <w:rFonts w:cstheme="minorHAnsi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elaborarea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rapoarte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lunare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activitate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după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modelul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furnizat</w:t>
            </w:r>
            <w:r>
              <w:rPr>
                <w:rFonts w:cstheme="minorHAnsi"/>
              </w:rPr>
              <w:t xml:space="preserve"> de UJSS, </w:t>
            </w:r>
            <w:r>
              <w:rPr>
                <w:rFonts w:cstheme="minorHAnsi"/>
              </w:rPr>
              <w:t xml:space="preserve">privind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implementarea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activității</w:t>
            </w:r>
            <w:r>
              <w:rPr>
                <w:rFonts w:cstheme="minorHAnsi"/>
              </w:rPr>
              <w:t xml:space="preserve"> de </w:t>
            </w:r>
            <w:r>
              <w:rPr>
                <w:rFonts w:cstheme="minorHAnsi"/>
              </w:rPr>
              <w:t xml:space="preserve">suport</w:t>
            </w:r>
            <w:r>
              <w:rPr>
                <w:rFonts w:cstheme="minorHAnsi"/>
              </w:rPr>
              <w:t xml:space="preserve"> /</w:t>
            </w:r>
            <w:r>
              <w:rPr>
                <w:rFonts w:cstheme="minorHAnsi"/>
              </w:rPr>
              <w:t xml:space="preserve">sprijin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educațional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 xml:space="preserve">în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cadrul</w:t>
            </w:r>
            <w:r>
              <w:rPr>
                <w:rFonts w:cstheme="minorHAnsi"/>
              </w:rPr>
              <w:t xml:space="preserve"> ECI;</w:t>
            </w:r>
            <w:r>
              <w:rPr>
                <w:rFonts w:cstheme="minorHAnsi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participarea la schimburi de experiență și întâlniri locale între lucrătorii comunitari, diverși profesioniști, membri ai structurilor comunitare consultative, reprezentanți ai primăriilor etc;</w:t>
            </w:r>
            <w:r>
              <w:rPr>
                <w:rFonts w:cstheme="minorHAnsi"/>
                <w:lang w:val="fr-FR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identificarea de inițiative complementare derulate la nivel comunitar în sfera de activitate, precum și facilitarea cooperării cu alți actori de pe plan local;</w:t>
            </w:r>
            <w:r>
              <w:rPr>
                <w:rFonts w:cstheme="minorHAnsi"/>
                <w:lang w:val="fr-FR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participarea la întâlniri periodice (lunare/trimestriale) de instruire și supervizare a membrilor echipei comunitare (în ceea ce privește implementarea instrumentului informatic SCI de identificare și monitorizare a persoanelor vulnerabile, centralizarea ș</w:t>
            </w:r>
            <w:r>
              <w:rPr>
                <w:rFonts w:cstheme="minorHAnsi"/>
                <w:lang w:val="fr-FR"/>
              </w:rPr>
              <w:t xml:space="preserve">i validarea datelor culese la nivel local prin aplicația SCI și raportarea lor lunară în cadrul rapoartelor lunare de activitate; asigurarea managementului de caz și furnizării de servicii sociale cu precădere a celor din pachetul minim de servicii generat</w:t>
            </w:r>
            <w:r>
              <w:rPr>
                <w:rFonts w:cstheme="minorHAnsi"/>
                <w:lang w:val="fr-FR"/>
              </w:rPr>
              <w:t xml:space="preserve"> de aplicația SCI și în maniera integrată cu ceilalți prestatori de servicii); crearea, activarea și mobilizarea structurilor comunitare consultative (SCC), prin susținerea implicării membrilor SCC în soluționarea cazurilor identificate prin aplicația SCI;</w:t>
            </w:r>
            <w:r>
              <w:rPr>
                <w:rFonts w:cstheme="minorHAnsi"/>
                <w:lang w:val="fr-FR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participarea la eve</w:t>
            </w:r>
            <w:r>
              <w:rPr>
                <w:rFonts w:cstheme="minorHAnsi"/>
                <w:lang w:val="fr-FR"/>
              </w:rPr>
              <w:t xml:space="preserve">nimentele de informare și comunicare organizate în cadrul proiectului; facilitarea diseminării informațiilor cu privire la proiect și a instrumentelor elaborate în cadrul proiectului la nivelul DGASPC / AJPIS/CJRAE/DSP și a rezultatelor aplicării acestora;</w:t>
            </w:r>
            <w:r>
              <w:rPr>
                <w:rFonts w:cstheme="minorHAnsi"/>
                <w:lang w:val="fr-FR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asigurarea aplicării la nivel județean a me</w:t>
            </w:r>
            <w:r>
              <w:rPr>
                <w:rFonts w:cstheme="minorHAnsi"/>
                <w:lang w:val="fr-FR"/>
              </w:rPr>
              <w:t xml:space="preserve">canismului operațional de colaborare interinstituțională și de coordonare a  serviciilor comunitare integrate (având în  vedere prevederile Ordinului nr. 2.555/2023/25.017/2.485/4.490/2024 privind modificarea Ordinului ministrului muncii și justiției socia</w:t>
            </w:r>
            <w:r>
              <w:rPr>
                <w:rFonts w:cstheme="minorHAnsi"/>
                <w:lang w:val="fr-FR"/>
              </w:rPr>
              <w:t xml:space="preserve">le, al ministrului sănătății și al ministrului educației naționale nr. 393/630/4.236/2017 pentru aprobarea Protocolului de colaborare în vederea implementării serviciilor comunitare integrate necesare prevenirii excluziunii sociale și combaterii sărăciei);</w:t>
            </w:r>
            <w:r>
              <w:rPr>
                <w:rFonts w:cstheme="minorHAnsi"/>
                <w:lang w:val="fr-FR"/>
              </w:rPr>
            </w:r>
          </w:p>
          <w:p>
            <w:pPr>
              <w:pStyle w:val="679"/>
              <w:numPr>
                <w:ilvl w:val="0"/>
                <w:numId w:val="4"/>
              </w:numPr>
              <w:pBdr/>
              <w:spacing w:after="0" w:line="240" w:lineRule="auto"/>
              <w:ind/>
              <w:jc w:val="both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 xml:space="preserve">h.</w:t>
            </w:r>
            <w:r>
              <w:rPr>
                <w:rFonts w:cstheme="minorHAnsi"/>
                <w:lang w:val="fr-FR"/>
              </w:rPr>
              <w:tab/>
              <w:t xml:space="preserve">comun</w:t>
            </w:r>
            <w:r>
              <w:rPr>
                <w:rFonts w:cstheme="minorHAnsi"/>
                <w:lang w:val="fr-FR"/>
              </w:rPr>
              <w:t xml:space="preserve">icarea cu reprezentanții autorităților administrației publice locale pentru a se asigura de sustenabilitatea activităților din proiect, prin participarea la identificarea unor oportunități de finanțare nerambursabilă și scrierea de proiecte la nivel local.</w:t>
            </w:r>
            <w:r>
              <w:rPr>
                <w:rFonts w:cstheme="minorHAnsi"/>
                <w:lang w:val="fr-FR"/>
              </w:rPr>
            </w:r>
          </w:p>
        </w:tc>
      </w:tr>
    </w:tbl>
    <w:p>
      <w:pPr>
        <w:pStyle w:val="679"/>
        <w:pBdr/>
        <w:spacing w:after="0" w:line="240" w:lineRule="auto"/>
        <w:ind w:left="360"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</w:r>
      <w:r>
        <w:rPr>
          <w:rFonts w:cstheme="minorHAnsi"/>
          <w:lang w:val="fr-FR"/>
        </w:rPr>
      </w:r>
    </w:p>
    <w:p>
      <w:pPr>
        <w:pBdr/>
        <w:tabs>
          <w:tab w:val="left" w:leader="none" w:pos="1110"/>
        </w:tabs>
        <w:spacing/>
        <w:ind/>
        <w:rPr/>
      </w:pPr>
      <w:r/>
      <w:r/>
    </w:p>
    <w:p>
      <w:pPr>
        <w:pBdr/>
        <w:tabs>
          <w:tab w:val="left" w:leader="none" w:pos="1110"/>
        </w:tabs>
        <w:spacing/>
        <w:ind/>
        <w:rPr/>
      </w:pPr>
      <w:r/>
      <w:r/>
    </w:p>
    <w:sectPr>
      <w:footnotePr/>
      <w:endnotePr/>
      <w:type w:val="nextPage"/>
      <w:pgSz w:h="15840" w:orient="portrait" w:w="12240"/>
      <w:pgMar w:top="426" w:right="1440" w:bottom="709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774B39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1">
    <w:nsid w:val="3E062C90"/>
    <w:lvl w:ilvl="0">
      <w:isLgl w:val="false"/>
      <w:lvlJc w:val="left"/>
      <w:lvlText w:val="%1."/>
      <w:numFmt w:val="lowerLetter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2">
    <w:nsid w:val="6F6A1295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3">
    <w:nsid w:val="71F233E0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2"/>
    <w:next w:val="67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2"/>
    <w:next w:val="67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2">
    <w:name w:val="Heading 4"/>
    <w:basedOn w:val="672"/>
    <w:next w:val="67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2"/>
    <w:next w:val="67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2"/>
    <w:next w:val="67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2"/>
    <w:next w:val="67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2"/>
    <w:next w:val="67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2"/>
    <w:next w:val="67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3">
    <w:name w:val="Heading 4 Char"/>
    <w:basedOn w:val="67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2"/>
    <w:next w:val="67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4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2"/>
    <w:next w:val="67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2"/>
    <w:next w:val="67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2"/>
    <w:next w:val="67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2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4"/>
    <w:link w:val="176"/>
    <w:uiPriority w:val="99"/>
    <w:pPr>
      <w:pBdr/>
      <w:spacing/>
      <w:ind/>
    </w:pPr>
  </w:style>
  <w:style w:type="paragraph" w:styleId="178">
    <w:name w:val="Footer"/>
    <w:basedOn w:val="672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4"/>
    <w:link w:val="178"/>
    <w:uiPriority w:val="99"/>
    <w:pPr>
      <w:pBdr/>
      <w:spacing/>
      <w:ind/>
    </w:pPr>
  </w:style>
  <w:style w:type="paragraph" w:styleId="180">
    <w:name w:val="Caption"/>
    <w:basedOn w:val="672"/>
    <w:next w:val="67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2"/>
    <w:next w:val="672"/>
    <w:uiPriority w:val="39"/>
    <w:unhideWhenUsed/>
    <w:pPr>
      <w:pBdr/>
      <w:spacing w:after="100"/>
      <w:ind/>
    </w:pPr>
  </w:style>
  <w:style w:type="paragraph" w:styleId="190">
    <w:name w:val="toc 2"/>
    <w:basedOn w:val="672"/>
    <w:next w:val="672"/>
    <w:uiPriority w:val="39"/>
    <w:unhideWhenUsed/>
    <w:pPr>
      <w:pBdr/>
      <w:spacing w:after="100"/>
      <w:ind w:left="220"/>
    </w:pPr>
  </w:style>
  <w:style w:type="paragraph" w:styleId="191">
    <w:name w:val="toc 3"/>
    <w:basedOn w:val="672"/>
    <w:next w:val="672"/>
    <w:uiPriority w:val="39"/>
    <w:unhideWhenUsed/>
    <w:pPr>
      <w:pBdr/>
      <w:spacing w:after="100"/>
      <w:ind w:left="440"/>
    </w:pPr>
  </w:style>
  <w:style w:type="paragraph" w:styleId="192">
    <w:name w:val="toc 4"/>
    <w:basedOn w:val="672"/>
    <w:next w:val="672"/>
    <w:uiPriority w:val="39"/>
    <w:unhideWhenUsed/>
    <w:pPr>
      <w:pBdr/>
      <w:spacing w:after="100"/>
      <w:ind w:left="660"/>
    </w:pPr>
  </w:style>
  <w:style w:type="paragraph" w:styleId="193">
    <w:name w:val="toc 5"/>
    <w:basedOn w:val="672"/>
    <w:next w:val="672"/>
    <w:uiPriority w:val="39"/>
    <w:unhideWhenUsed/>
    <w:pPr>
      <w:pBdr/>
      <w:spacing w:after="100"/>
      <w:ind w:left="880"/>
    </w:pPr>
  </w:style>
  <w:style w:type="paragraph" w:styleId="194">
    <w:name w:val="toc 6"/>
    <w:basedOn w:val="672"/>
    <w:next w:val="672"/>
    <w:uiPriority w:val="39"/>
    <w:unhideWhenUsed/>
    <w:pPr>
      <w:pBdr/>
      <w:spacing w:after="100"/>
      <w:ind w:left="1100"/>
    </w:pPr>
  </w:style>
  <w:style w:type="paragraph" w:styleId="195">
    <w:name w:val="toc 7"/>
    <w:basedOn w:val="672"/>
    <w:next w:val="672"/>
    <w:uiPriority w:val="39"/>
    <w:unhideWhenUsed/>
    <w:pPr>
      <w:pBdr/>
      <w:spacing w:after="100"/>
      <w:ind w:left="1320"/>
    </w:pPr>
  </w:style>
  <w:style w:type="paragraph" w:styleId="196">
    <w:name w:val="toc 8"/>
    <w:basedOn w:val="672"/>
    <w:next w:val="672"/>
    <w:uiPriority w:val="39"/>
    <w:unhideWhenUsed/>
    <w:pPr>
      <w:pBdr/>
      <w:spacing w:after="100"/>
      <w:ind w:left="1540"/>
    </w:pPr>
  </w:style>
  <w:style w:type="paragraph" w:styleId="197">
    <w:name w:val="toc 9"/>
    <w:basedOn w:val="672"/>
    <w:next w:val="67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2"/>
    <w:next w:val="672"/>
    <w:uiPriority w:val="99"/>
    <w:unhideWhenUsed/>
    <w:pPr>
      <w:pBdr/>
      <w:spacing w:after="0" w:afterAutospacing="0"/>
      <w:ind/>
    </w:pPr>
  </w:style>
  <w:style w:type="paragraph" w:styleId="672" w:default="1">
    <w:name w:val="Normal"/>
    <w:qFormat/>
    <w:pPr>
      <w:pBdr/>
      <w:spacing/>
      <w:ind/>
    </w:pPr>
  </w:style>
  <w:style w:type="paragraph" w:styleId="673">
    <w:name w:val="Heading 3"/>
    <w:basedOn w:val="672"/>
    <w:next w:val="672"/>
    <w:link w:val="678"/>
    <w:unhideWhenUsed/>
    <w:qFormat/>
    <w:pPr>
      <w:keepNext w:val="true"/>
      <w:keepLines w:val="true"/>
      <w:pBdr/>
      <w:spacing w:after="0" w:before="40" w:line="259" w:lineRule="auto"/>
      <w:ind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674" w:default="1">
    <w:name w:val="Default Paragraph Font"/>
    <w:uiPriority w:val="1"/>
    <w:semiHidden/>
    <w:unhideWhenUsed/>
    <w:pPr>
      <w:pBdr/>
      <w:spacing/>
      <w:ind/>
    </w:pPr>
  </w:style>
  <w:style w:type="table" w:styleId="6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6" w:default="1">
    <w:name w:val="No List"/>
    <w:uiPriority w:val="99"/>
    <w:semiHidden/>
    <w:unhideWhenUsed/>
    <w:pPr>
      <w:pBdr/>
      <w:spacing/>
      <w:ind/>
    </w:pPr>
  </w:style>
  <w:style w:type="character" w:styleId="677">
    <w:name w:val="Hyperlink"/>
    <w:basedOn w:val="674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678" w:customStyle="1">
    <w:name w:val="Heading 3 Char"/>
    <w:basedOn w:val="674"/>
    <w:link w:val="673"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679">
    <w:name w:val="List Paragraph"/>
    <w:basedOn w:val="672"/>
    <w:link w:val="680"/>
    <w:uiPriority w:val="34"/>
    <w:qFormat/>
    <w:pPr>
      <w:pBdr/>
      <w:spacing w:after="160" w:line="259" w:lineRule="auto"/>
      <w:ind w:left="720"/>
      <w:contextualSpacing w:val="true"/>
    </w:pPr>
  </w:style>
  <w:style w:type="character" w:styleId="680" w:customStyle="1">
    <w:name w:val="List Paragraph Char"/>
    <w:link w:val="679"/>
    <w:uiPriority w:val="34"/>
    <w:qFormat/>
    <w:pPr>
      <w:pBdr/>
      <w:spacing/>
      <w:ind/>
    </w:pPr>
  </w:style>
  <w:style w:type="table" w:styleId="681" w:customStyle="1">
    <w:name w:val="Grid Table 4 - Accent 11"/>
    <w:basedOn w:val="675"/>
    <w:uiPriority w:val="4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office@csikszentimre.ro" TargetMode="External"/><Relationship Id="rId10" Type="http://schemas.openxmlformats.org/officeDocument/2006/relationships/hyperlink" Target="mailto:primaria@santimbru.ro" TargetMode="External"/><Relationship Id="rId11" Type="http://schemas.openxmlformats.org/officeDocument/2006/relationships/hyperlink" Target="http://www.santimbru.ro" TargetMode="External"/><Relationship Id="rId12" Type="http://schemas.openxmlformats.org/officeDocument/2006/relationships/hyperlink" Target="http://www.csikszentimre.ro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Imre</dc:creator>
  <cp:revision>8</cp:revision>
  <dcterms:created xsi:type="dcterms:W3CDTF">2025-10-28T12:37:00Z</dcterms:created>
  <dcterms:modified xsi:type="dcterms:W3CDTF">2026-09-09T10:13:56Z</dcterms:modified>
</cp:coreProperties>
</file>