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CÂMPENI</w:t>
      </w:r>
    </w:p>
    <w:p>
      <w:r>
        <w:rPr>
          <w:sz w:val="20"/>
          <w:szCs w:val="20"/>
        </w:rPr>
        <w:t xml:space="preserve">Alba, str MOȚILOR, nr 29, CÂMPENI </w:t>
      </w:r>
    </w:p>
    <w:p>
      <w:r>
        <w:rPr>
          <w:sz w:val="20"/>
          <w:szCs w:val="20"/>
        </w:rPr>
        <w:t xml:space="preserve">CIF 12877736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Câmpeni</w:t>
      </w:r>
      <w:r>
        <w:rPr>
          <w:color w:val="000000"/>
          <w:sz w:val="20"/>
          <w:szCs w:val="20"/>
          <w:rFonts w:ascii="Times New Roman" w:cs="Times New Roman" w:eastAsia="Times New Roman" w:hAnsi="Times New Roman"/>
        </w:rPr>
        <w:t xml:space="preserve"> cu sediul în Câmpeni, str. Moților nr. 29, județul Alba,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Bibliotecar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0358 401 857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Absolvirea, cu examen de diplomă, a unei instituții de învățământ superior, secția de biblioteconomie</w:t>
      </w:r>
    </w:p>
    <w:p>
      <w:pPr>
        <w:jc w:val="both"/>
      </w:pPr>
      <w:r>
        <w:rPr>
          <w:color w:val="000000"/>
          <w:sz w:val="20"/>
          <w:szCs w:val="20"/>
          <w:rFonts w:ascii="Times New Roman" w:cs="Times New Roman" w:eastAsia="Times New Roman" w:hAnsi="Times New Roman"/>
        </w:rPr>
        <w:t xml:space="preserve">2. Vechime în muncă:  Minim 7 ani</w:t>
      </w:r>
    </w:p>
    <w:p>
      <w:pPr>
        <w:jc w:val="both"/>
      </w:pPr>
      <w:r>
        <w:rPr>
          <w:color w:val="000000"/>
          <w:sz w:val="20"/>
          <w:szCs w:val="20"/>
          <w:rFonts w:ascii="Times New Roman" w:cs="Times New Roman" w:eastAsia="Times New Roman" w:hAnsi="Times New Roman"/>
        </w:rPr>
        <w:t xml:space="preserve">3. Alte condiții: - cunoștințe de operare pe calculator (Word, Excel, baze de date) cu atestat profesional;
-  abilități de comunicare în limba engleză, demonstrate prin atestat sau diplomă recunoscute de Ministerul Educației;
-  abilități de utilizare a aplicațiilor AI/digitale dedicate sprijinirii procesului de cercetare, cu certificat de absolvire a unui program/curs;
-  abilități de căutare și regăsire a informațiilor în bazele de date științifice internaționale;
-  cunoștințe și abilități de lucru în evidența, organizarea și reflectarea colecțiilor în cataloagele tradiționale și online.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Legea Bibliotecilor, nr. 334 / 31. 05. 2002, republicată şi actualizată;
2.	Legea învățământului preuniversitar – Legea nr. 198/2023;
3.	Fişa postului de bibliotecar Ordin 4247/2020 cu modificări și completări ulterioare;
4.	Regulament de organizare şi funcţionare a bibliotecilor şcolare şi a centrelor de documentare şi informare OMECTS nr. 5.556 din 7 octombrie 2011;
5.	Manualul bibliotecarului şcolar, Atelier didactic, Bucureşti, 2003;
6.	ROFUIP aprobat prin OME nr 5726/12.08.2024;
7.	Ghidul IFLA pentru biblioteci școlare https://www.ifla.org/wp-content/uploads/2019/05//assets/school-libraries-resource-centers/publications/ifla-school-library-guidelines-ro.pdf;
8.      Codul deontologic al bibliotecarului din România;
9.     Ordinul nr. 5559/22.11.2013 privind regimul manualelor școlare în învățământul preuniversitar.
10.    Tratat de biblioteconomie, vol. II-III, coordonator Mircea Regneală, București, Editura ABR 2013 ;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	Rolul bibliotecii şcolare- funcţiile bibliotecii şcolare şi ale bibliotecarului şcolar;
•	Dezvoltarea colecţiilor- mijloace de completare a colecţiilor, criteriu de dezvoltare a colecţiilor în biblioteca şcolară;
•	Evidenţa colecţiilor- proceduri de evidenţă publicațiilor, primirea publicaţiilor şi introducerea lor în gestiunea bibliotecii, documente de evidenţă(RMF,RI,fişe de evidenţă preliminară pentru seriale), reguli de completare a documentelor de evidenţă(RMF si RI);
•	Catalogarea publicaţiilor- scopul catalogării publicaţiilor, tipuri de cataloage, organizarea cataloagelor;
•	Realizarea fişei bibliografice a cărţii- zonele ISBD(M), publicaţia(ISBD);
•	Clasificarea. Cotarea publicaţiilor- scopul clasificării documentelor, clasificarea zecimală, universală(clase, subclase, indici auxiliar), tabele de autori, semnul de autor;
•	Organizarea colecţiilor- organizarea bibliotecii, aranjarea cărţilor la raft;
•	Gestiunea bibliotecilor- predarea-primirea unei biblioteci şcolare, inventarul bibliotecilor, proceduri şi acte în contabilitate privind inventarierea colecţiilor bibliotecii şcolare;
•	Eliminarea din gestiune a publicaţiilor- casarea publicaţiilor,	proceduri de casare în biblioteca şcolară;
•	Evidența manualelor școlare;
•	Relaţii cu utilizatorii- regulamentul intern al bibliotecii şcolare, serviciul de împrumut şi sala de lectură, statistica de bibliotecă, marketingul de bibliotecă.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2026-07-31T08:54:51.900Z</dcterms:created>
  <dcterms:modified xsi:type="dcterms:W3CDTF">2026-07-31T08:54:51.900Z</dcterms:modified>
</cp:coreProperties>
</file>

<file path=docProps/custom.xml><?xml version="1.0" encoding="utf-8"?>
<Properties xmlns="http://schemas.openxmlformats.org/officeDocument/2006/custom-properties" xmlns:vt="http://schemas.openxmlformats.org/officeDocument/2006/docPropsVTypes"/>
</file>